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01066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010661">
        <w:rPr>
          <w:rFonts w:ascii="Times New Roman" w:hAnsi="Times New Roman"/>
          <w:sz w:val="24"/>
          <w:szCs w:val="24"/>
        </w:rPr>
        <w:t>Додаток №</w:t>
      </w:r>
      <w:r w:rsidRPr="00010661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01066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01066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565B59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565B59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565B59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565B59">
        <w:rPr>
          <w:rFonts w:ascii="Times New Roman" w:hAnsi="Times New Roman"/>
          <w:sz w:val="24"/>
          <w:szCs w:val="24"/>
        </w:rPr>
        <w:t xml:space="preserve"> </w:t>
      </w:r>
      <w:r w:rsidR="009E35D8">
        <w:rPr>
          <w:rFonts w:ascii="Times New Roman" w:hAnsi="Times New Roman"/>
          <w:sz w:val="24"/>
          <w:szCs w:val="24"/>
          <w:lang w:val="ru-RU"/>
        </w:rPr>
        <w:t>21</w:t>
      </w:r>
      <w:r w:rsidR="0026513A" w:rsidRPr="0026513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513A">
        <w:rPr>
          <w:rFonts w:ascii="Times New Roman" w:hAnsi="Times New Roman"/>
          <w:sz w:val="24"/>
          <w:szCs w:val="24"/>
        </w:rPr>
        <w:t>лютого</w:t>
      </w:r>
      <w:r w:rsidR="00F141B6" w:rsidRPr="00565B59">
        <w:rPr>
          <w:rFonts w:ascii="Times New Roman" w:hAnsi="Times New Roman"/>
          <w:sz w:val="24"/>
          <w:szCs w:val="24"/>
        </w:rPr>
        <w:t xml:space="preserve"> </w:t>
      </w:r>
      <w:r w:rsidR="001C6DFE" w:rsidRPr="00565B59">
        <w:rPr>
          <w:rFonts w:ascii="Times New Roman" w:hAnsi="Times New Roman"/>
          <w:sz w:val="24"/>
          <w:szCs w:val="24"/>
        </w:rPr>
        <w:t>201</w:t>
      </w:r>
      <w:r w:rsidR="0026513A">
        <w:rPr>
          <w:rFonts w:ascii="Times New Roman" w:hAnsi="Times New Roman"/>
          <w:sz w:val="24"/>
          <w:szCs w:val="24"/>
        </w:rPr>
        <w:t>8</w:t>
      </w:r>
      <w:r w:rsidR="001C6DFE" w:rsidRPr="00565B59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565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35D8">
        <w:rPr>
          <w:rFonts w:ascii="Times New Roman" w:hAnsi="Times New Roman"/>
          <w:sz w:val="24"/>
          <w:szCs w:val="24"/>
          <w:lang w:val="ru-RU"/>
        </w:rPr>
        <w:t>12</w:t>
      </w:r>
      <w:r w:rsidR="00E952E9" w:rsidRPr="00565B59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відділу документального забезпечення – канцелярія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BF3936" w:rsidRPr="007B4E2F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(на час відпустки для догляду за дитиною </w:t>
      </w:r>
    </w:p>
    <w:p w:rsidR="001C6DFE" w:rsidRPr="006A247F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основного працівника)</w:t>
      </w:r>
      <w:r w:rsidR="006A247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B144EA" w:rsidRDefault="00B144EA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одна</w:t>
      </w:r>
      <w:r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>
        <w:rPr>
          <w:rFonts w:ascii="Times New Roman" w:hAnsi="Times New Roman"/>
          <w:b/>
          <w:sz w:val="24"/>
          <w:szCs w:val="24"/>
        </w:rPr>
        <w:t>а</w:t>
      </w:r>
      <w:r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1C6DFE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Здійснює</w:t>
            </w:r>
            <w:r w:rsidR="00F8596D" w:rsidRPr="00010661">
              <w:rPr>
                <w:sz w:val="24"/>
                <w:szCs w:val="24"/>
              </w:rPr>
              <w:t xml:space="preserve"> судов</w:t>
            </w:r>
            <w:r w:rsidR="007B4E2F">
              <w:rPr>
                <w:sz w:val="24"/>
                <w:szCs w:val="24"/>
              </w:rPr>
              <w:t>і</w:t>
            </w:r>
            <w:r w:rsidR="00F8596D" w:rsidRPr="00010661">
              <w:rPr>
                <w:sz w:val="24"/>
                <w:szCs w:val="24"/>
              </w:rPr>
              <w:t xml:space="preserve"> виклик</w:t>
            </w:r>
            <w:r w:rsidR="007B4E2F">
              <w:rPr>
                <w:sz w:val="24"/>
                <w:szCs w:val="24"/>
              </w:rPr>
              <w:t>и та повідомлення</w:t>
            </w:r>
            <w:r w:rsidR="0023465E" w:rsidRPr="00010661">
              <w:rPr>
                <w:sz w:val="24"/>
                <w:szCs w:val="24"/>
              </w:rPr>
              <w:t xml:space="preserve"> в справах, які знаходяться у провадженні судді;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здійснює</w:t>
            </w:r>
            <w:r w:rsidR="00055E04">
              <w:rPr>
                <w:sz w:val="24"/>
                <w:szCs w:val="24"/>
              </w:rPr>
              <w:t xml:space="preserve"> оформлення та розміщення списків справ, призначених до розгляду;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055E04">
              <w:rPr>
                <w:sz w:val="24"/>
                <w:szCs w:val="24"/>
              </w:rPr>
              <w:t>еревіряє наявність і з</w:t>
            </w:r>
            <w:r w:rsidR="00055E04" w:rsidRPr="00055E04">
              <w:rPr>
                <w:sz w:val="24"/>
                <w:szCs w:val="24"/>
              </w:rPr>
              <w:t>’</w:t>
            </w:r>
            <w:r w:rsidR="00055E04">
              <w:rPr>
                <w:sz w:val="24"/>
                <w:szCs w:val="24"/>
              </w:rPr>
              <w:t>ясовує причини відсутності осіб, яких викликано до суду, і доповідає про це головуючому судді;</w:t>
            </w:r>
          </w:p>
          <w:p w:rsidR="00055E04" w:rsidRPr="00010661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055E04">
              <w:rPr>
                <w:sz w:val="24"/>
                <w:szCs w:val="24"/>
              </w:rPr>
              <w:t>дійснює перевірку осіб, які викликані в судове засідання, та зазначає на повістках час перебування в суді;</w:t>
            </w:r>
          </w:p>
          <w:p w:rsidR="00F8596D" w:rsidRDefault="00F8596D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 xml:space="preserve">забезпечує </w:t>
            </w:r>
            <w:r w:rsidRPr="00010661">
              <w:rPr>
                <w:sz w:val="24"/>
                <w:szCs w:val="24"/>
              </w:rPr>
              <w:t>фіксування судового процесу технічними засобами згідно з Інструкцією про порядок фіксування судового процесу технічними засобами;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7742">
              <w:rPr>
                <w:sz w:val="24"/>
                <w:szCs w:val="24"/>
              </w:rPr>
              <w:t>в</w:t>
            </w:r>
            <w:r w:rsidR="00055E04" w:rsidRPr="00757742">
              <w:rPr>
                <w:sz w:val="24"/>
                <w:szCs w:val="24"/>
              </w:rPr>
              <w:t>еде протокол</w:t>
            </w:r>
            <w:r w:rsidR="00055E04">
              <w:rPr>
                <w:sz w:val="24"/>
                <w:szCs w:val="24"/>
              </w:rPr>
              <w:t xml:space="preserve"> судового засідання;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055E04">
              <w:rPr>
                <w:sz w:val="24"/>
                <w:szCs w:val="24"/>
              </w:rPr>
              <w:t>иготовляє копії судових рішень у справах, які знаходяться в провадженні судді;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055E04">
              <w:rPr>
                <w:sz w:val="24"/>
                <w:szCs w:val="24"/>
              </w:rPr>
              <w:t>дійснює оформлення для направлення копії судових рішень сторонам та іншим особам, які беруть участь у справі й фактично не були присутніми  в судовому засіданні при розгляді справи;</w:t>
            </w:r>
          </w:p>
          <w:p w:rsidR="00055E04" w:rsidRPr="00010661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="00055E04">
              <w:rPr>
                <w:sz w:val="24"/>
                <w:szCs w:val="24"/>
              </w:rPr>
              <w:t>отує виконавчі листи у</w:t>
            </w:r>
            <w:r w:rsidR="00570CAF">
              <w:rPr>
                <w:sz w:val="24"/>
                <w:szCs w:val="24"/>
              </w:rPr>
              <w:t xml:space="preserve"> справах</w:t>
            </w:r>
            <w:r w:rsidR="00055E04">
              <w:rPr>
                <w:sz w:val="24"/>
                <w:szCs w:val="24"/>
              </w:rPr>
              <w:t>, за якими передбачено негайне виконання;</w:t>
            </w:r>
          </w:p>
          <w:p w:rsidR="001C6DFE" w:rsidRPr="00010661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о</w:t>
            </w:r>
            <w:r w:rsidR="00F8596D" w:rsidRPr="00010661">
              <w:rPr>
                <w:sz w:val="24"/>
                <w:szCs w:val="24"/>
              </w:rPr>
              <w:t>формл</w:t>
            </w:r>
            <w:r w:rsidR="00055E04">
              <w:rPr>
                <w:sz w:val="24"/>
                <w:szCs w:val="24"/>
              </w:rPr>
              <w:t xml:space="preserve">яє матеріали </w:t>
            </w:r>
            <w:r w:rsidRPr="00010661">
              <w:rPr>
                <w:sz w:val="24"/>
                <w:szCs w:val="24"/>
              </w:rPr>
              <w:t>судових справ</w:t>
            </w:r>
            <w:r w:rsidR="00F8596D" w:rsidRPr="00010661">
              <w:rPr>
                <w:sz w:val="24"/>
                <w:szCs w:val="24"/>
              </w:rPr>
              <w:t xml:space="preserve"> і здійсн</w:t>
            </w:r>
            <w:r w:rsidR="00055E04">
              <w:rPr>
                <w:sz w:val="24"/>
                <w:szCs w:val="24"/>
              </w:rPr>
              <w:t>ює</w:t>
            </w:r>
            <w:r w:rsidR="00F8596D" w:rsidRPr="00010661">
              <w:rPr>
                <w:sz w:val="24"/>
                <w:szCs w:val="24"/>
              </w:rPr>
              <w:t xml:space="preserve"> </w:t>
            </w:r>
            <w:r w:rsidR="00055E04">
              <w:rPr>
                <w:sz w:val="24"/>
                <w:szCs w:val="24"/>
              </w:rPr>
              <w:t>передачу</w:t>
            </w:r>
            <w:r w:rsidR="00F8596D" w:rsidRPr="00010661">
              <w:rPr>
                <w:sz w:val="24"/>
                <w:szCs w:val="24"/>
              </w:rPr>
              <w:t xml:space="preserve"> справ до канцелярії суду</w:t>
            </w:r>
            <w:r w:rsidRPr="00010661">
              <w:rPr>
                <w:sz w:val="24"/>
                <w:szCs w:val="24"/>
              </w:rPr>
              <w:t xml:space="preserve">; </w:t>
            </w:r>
          </w:p>
          <w:p w:rsidR="007B4E2F" w:rsidRPr="00010661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з</w:t>
            </w:r>
            <w:r w:rsidR="0023465E" w:rsidRPr="00010661">
              <w:rPr>
                <w:sz w:val="24"/>
                <w:szCs w:val="24"/>
              </w:rPr>
              <w:t>аконвертовує та адресує повістки про виклик та повістки повідомлення в справах, які знаходяться в провадженні судді;</w:t>
            </w:r>
          </w:p>
          <w:p w:rsidR="00B333B4" w:rsidRPr="00010661" w:rsidRDefault="007B4E2F" w:rsidP="00A142C2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і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нші функціональні обов'язки відповідно до посадової інструкції.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26513A">
              <w:rPr>
                <w:rFonts w:ascii="Times New Roman" w:eastAsia="Times New Roman" w:hAnsi="Times New Roman"/>
                <w:sz w:val="24"/>
                <w:szCs w:val="24"/>
              </w:rPr>
              <w:t>4400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5360AB" w:rsidP="0011025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Строковий трудовий договір (н</w:t>
            </w:r>
            <w:r w:rsidR="00745C2D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час відпустки </w:t>
            </w:r>
            <w:r w:rsidR="0023465E" w:rsidRPr="00010661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догляду за дитиною основного працівника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26513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B549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26513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12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26513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березня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793B5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березня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>ідділ</w:t>
            </w:r>
            <w:proofErr w:type="spellEnd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010661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Вища освіта не нижче молодшого бакалавра або бакалавра за спеціальністю </w:t>
            </w:r>
            <w:r w:rsidRPr="00724BEF">
              <w:rPr>
                <w:sz w:val="24"/>
                <w:szCs w:val="24"/>
              </w:rPr>
              <w:t>«Право», «Правознавство» або «Правоохоронна діяльність»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C529AA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proofErr w:type="spellStart"/>
            <w:r w:rsidRPr="00EE16CF">
              <w:rPr>
                <w:rFonts w:eastAsia="Times New Roman"/>
              </w:rPr>
              <w:t>-Вміння</w:t>
            </w:r>
            <w:proofErr w:type="spellEnd"/>
            <w:r w:rsidRPr="00EE16CF">
              <w:rPr>
                <w:rFonts w:eastAsia="Times New Roman"/>
              </w:rPr>
              <w:t xml:space="preserve">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>
              <w:rPr>
                <w:rFonts w:eastAsia="Times New Roman"/>
                <w:lang w:val="en-US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EE16CF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010661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службовці відповідно до посадової інструкції (положення про структурний підрозділ</w:t>
            </w:r>
            <w:r w:rsidR="00C074D8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070" w:type="dxa"/>
          </w:tcPr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EE16CF" w:rsidRPr="00AF29A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>) 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суду;</w:t>
            </w:r>
          </w:p>
          <w:p w:rsidR="00EE16CF" w:rsidRPr="00AF4E82" w:rsidRDefault="00EE16CF" w:rsidP="00111F9F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5</w:t>
            </w:r>
            <w:r w:rsidRPr="006372CA">
              <w:rPr>
                <w:sz w:val="24"/>
                <w:szCs w:val="24"/>
              </w:rPr>
              <w:t>)</w:t>
            </w:r>
            <w:r w:rsidRPr="00010661">
              <w:rPr>
                <w:color w:val="00B050"/>
                <w:sz w:val="24"/>
                <w:szCs w:val="24"/>
              </w:rPr>
              <w:t xml:space="preserve"> </w:t>
            </w:r>
            <w:r w:rsidRPr="006372CA">
              <w:rPr>
                <w:sz w:val="24"/>
                <w:szCs w:val="24"/>
              </w:rPr>
              <w:t xml:space="preserve">Інструкція про порядок роботи з технічними засобами фіксації </w:t>
            </w:r>
            <w:proofErr w:type="gramStart"/>
            <w:r w:rsidRPr="006372CA">
              <w:rPr>
                <w:sz w:val="24"/>
                <w:szCs w:val="24"/>
              </w:rPr>
              <w:t>судового</w:t>
            </w:r>
            <w:proofErr w:type="gramEnd"/>
            <w:r w:rsidRPr="006372CA">
              <w:rPr>
                <w:sz w:val="24"/>
                <w:szCs w:val="24"/>
              </w:rPr>
              <w:t xml:space="preserve"> процесу (судового засідання)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830D5"/>
    <w:rsid w:val="00187D31"/>
    <w:rsid w:val="001904F1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6513A"/>
    <w:rsid w:val="0028455F"/>
    <w:rsid w:val="00291FAB"/>
    <w:rsid w:val="002A3142"/>
    <w:rsid w:val="002B4A69"/>
    <w:rsid w:val="002C1D9F"/>
    <w:rsid w:val="002D1480"/>
    <w:rsid w:val="002E42B0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47760"/>
    <w:rsid w:val="00463A4C"/>
    <w:rsid w:val="00467779"/>
    <w:rsid w:val="00474CF6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694D"/>
    <w:rsid w:val="00793B5E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35D8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549F7"/>
    <w:rsid w:val="00B67665"/>
    <w:rsid w:val="00B9312D"/>
    <w:rsid w:val="00B93565"/>
    <w:rsid w:val="00BB1330"/>
    <w:rsid w:val="00BB3A95"/>
    <w:rsid w:val="00BC7B89"/>
    <w:rsid w:val="00BD2B01"/>
    <w:rsid w:val="00BE6542"/>
    <w:rsid w:val="00BF333C"/>
    <w:rsid w:val="00BF3936"/>
    <w:rsid w:val="00C0162B"/>
    <w:rsid w:val="00C024B0"/>
    <w:rsid w:val="00C074D8"/>
    <w:rsid w:val="00C31489"/>
    <w:rsid w:val="00C41651"/>
    <w:rsid w:val="00C44FEB"/>
    <w:rsid w:val="00C506BF"/>
    <w:rsid w:val="00C529AA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0CC6"/>
    <w:rsid w:val="00DC5CC0"/>
    <w:rsid w:val="00DD4D43"/>
    <w:rsid w:val="00E03118"/>
    <w:rsid w:val="00E04EE3"/>
    <w:rsid w:val="00E07BF5"/>
    <w:rsid w:val="00E1139A"/>
    <w:rsid w:val="00E2508A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5982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64</cp:revision>
  <cp:lastPrinted>2017-11-09T08:11:00Z</cp:lastPrinted>
  <dcterms:created xsi:type="dcterms:W3CDTF">2017-07-27T08:12:00Z</dcterms:created>
  <dcterms:modified xsi:type="dcterms:W3CDTF">2018-02-20T14:52:00Z</dcterms:modified>
</cp:coreProperties>
</file>