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>ЗАТВЕРДЖЕНО</w:t>
      </w:r>
    </w:p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 xml:space="preserve">наказом </w:t>
      </w:r>
      <w:r>
        <w:rPr>
          <w:sz w:val="24"/>
          <w:szCs w:val="24"/>
        </w:rPr>
        <w:t>Хмільницького міськрайонного  суду Вінницької області</w:t>
      </w:r>
    </w:p>
    <w:p w:rsidR="00F26673" w:rsidRPr="00765AA8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765AA8">
        <w:rPr>
          <w:sz w:val="24"/>
          <w:szCs w:val="24"/>
        </w:rPr>
        <w:t xml:space="preserve">від </w:t>
      </w:r>
      <w:r>
        <w:rPr>
          <w:sz w:val="24"/>
          <w:szCs w:val="24"/>
        </w:rPr>
        <w:t>0</w:t>
      </w:r>
      <w:r w:rsidR="004E2A90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серпня  </w:t>
      </w:r>
      <w:r w:rsidRPr="00765AA8">
        <w:rPr>
          <w:sz w:val="24"/>
          <w:szCs w:val="24"/>
        </w:rPr>
        <w:t>2021 року №</w:t>
      </w:r>
      <w:r>
        <w:rPr>
          <w:sz w:val="24"/>
          <w:szCs w:val="24"/>
        </w:rPr>
        <w:t xml:space="preserve"> 3</w:t>
      </w:r>
      <w:r w:rsidR="004E2A90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-АГ</w:t>
      </w: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Pr="00F26673" w:rsidRDefault="00F26673" w:rsidP="00F2667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6673">
        <w:rPr>
          <w:rFonts w:ascii="Times New Roman" w:hAnsi="Times New Roman" w:cs="Times New Roman"/>
          <w:sz w:val="28"/>
          <w:szCs w:val="28"/>
          <w:lang w:eastAsia="ru-RU"/>
        </w:rPr>
        <w:t>УМОВИ</w:t>
      </w:r>
    </w:p>
    <w:p w:rsidR="00F26673" w:rsidRPr="00663626" w:rsidRDefault="00F26673" w:rsidP="00F26673">
      <w:pPr>
        <w:jc w:val="center"/>
        <w:rPr>
          <w:b/>
          <w:sz w:val="28"/>
          <w:szCs w:val="28"/>
        </w:rPr>
      </w:pPr>
      <w:r w:rsidRPr="00663626">
        <w:rPr>
          <w:b/>
          <w:sz w:val="28"/>
          <w:szCs w:val="28"/>
        </w:rPr>
        <w:t xml:space="preserve">проведення конкурсу на зайняття вакантної посади державної служби категорії «В» - секретаря судового засідання </w:t>
      </w:r>
      <w:r>
        <w:rPr>
          <w:b/>
          <w:sz w:val="28"/>
          <w:szCs w:val="28"/>
        </w:rPr>
        <w:t xml:space="preserve">Хмільницького міськрайонного суду </w:t>
      </w:r>
      <w:r w:rsidRPr="00663626">
        <w:rPr>
          <w:b/>
          <w:sz w:val="28"/>
          <w:szCs w:val="28"/>
        </w:rPr>
        <w:t xml:space="preserve">Вінницької області </w:t>
      </w:r>
    </w:p>
    <w:p w:rsidR="00F26673" w:rsidRPr="003C30BC" w:rsidRDefault="00F26673" w:rsidP="00F26673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eastAsia="Calibri"/>
          <w:color w:val="000000"/>
          <w:sz w:val="16"/>
          <w:szCs w:val="16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2255"/>
        <w:gridCol w:w="6663"/>
      </w:tblGrid>
      <w:tr w:rsidR="00F26673" w:rsidRPr="003C30BC" w:rsidTr="00245D15">
        <w:tc>
          <w:tcPr>
            <w:tcW w:w="9606" w:type="dxa"/>
            <w:gridSpan w:val="3"/>
          </w:tcPr>
          <w:p w:rsidR="00F26673" w:rsidRPr="00403206" w:rsidRDefault="00F26673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403206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F26673" w:rsidRPr="003C30BC" w:rsidTr="00245D15">
        <w:trPr>
          <w:trHeight w:val="1667"/>
        </w:trPr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Посадові обов</w:t>
            </w:r>
            <w:r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’</w:t>
            </w: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6663" w:type="dxa"/>
          </w:tcPr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0615D6">
              <w:rPr>
                <w:spacing w:val="3"/>
                <w:sz w:val="24"/>
                <w:szCs w:val="24"/>
              </w:rPr>
              <w:t>Внесення даних до</w:t>
            </w:r>
            <w:r w:rsidRPr="000615D6">
              <w:rPr>
                <w:bCs/>
                <w:spacing w:val="-1"/>
                <w:sz w:val="24"/>
                <w:szCs w:val="24"/>
              </w:rPr>
              <w:t xml:space="preserve"> автоматизова</w:t>
            </w:r>
            <w:r>
              <w:rPr>
                <w:bCs/>
                <w:spacing w:val="-1"/>
                <w:sz w:val="24"/>
                <w:szCs w:val="24"/>
              </w:rPr>
              <w:t>ної системи документообігу суду;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615D6">
              <w:rPr>
                <w:sz w:val="24"/>
                <w:szCs w:val="24"/>
              </w:rPr>
              <w:t>дійснення судових викликів та повідомлень у справах, які знаходяться в провадженні судді, оформлення заявок до органів внутрішніх справ, адміністрації місць попереднього ув’язнення про доставку до суду затриманих та</w:t>
            </w:r>
            <w:r>
              <w:rPr>
                <w:sz w:val="24"/>
                <w:szCs w:val="24"/>
              </w:rPr>
              <w:t xml:space="preserve"> обвинувачених (підсудних осіб);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615D6">
              <w:rPr>
                <w:sz w:val="24"/>
                <w:szCs w:val="24"/>
              </w:rPr>
              <w:t>формлення та розміщення списків</w:t>
            </w:r>
            <w:r>
              <w:rPr>
                <w:sz w:val="24"/>
                <w:szCs w:val="24"/>
              </w:rPr>
              <w:t xml:space="preserve"> справ, призначених до розгляду;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615D6">
              <w:rPr>
                <w:sz w:val="24"/>
                <w:szCs w:val="24"/>
              </w:rPr>
              <w:t>езпосередньо перед розглядом справи здійснювати перевірку явки учасників судового процесу та вживання заходів щодо з’ясування причини неявки, уточнювати відомості про вручення судових викликів, повідомлень, судових повісток та інших матеріа</w:t>
            </w:r>
            <w:r>
              <w:rPr>
                <w:sz w:val="24"/>
                <w:szCs w:val="24"/>
              </w:rPr>
              <w:t>лів, про що доповідається судді;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615D6">
              <w:rPr>
                <w:sz w:val="24"/>
                <w:szCs w:val="24"/>
              </w:rPr>
              <w:t xml:space="preserve"> разі відсутності в судовому засідання судового розпоря</w:t>
            </w:r>
            <w:r>
              <w:rPr>
                <w:sz w:val="24"/>
                <w:szCs w:val="24"/>
              </w:rPr>
              <w:t>дника – виконувати його функції;</w:t>
            </w:r>
          </w:p>
          <w:p w:rsidR="00F26673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615D6">
              <w:rPr>
                <w:sz w:val="24"/>
                <w:szCs w:val="24"/>
              </w:rPr>
              <w:t xml:space="preserve">дійснення фіксування судового процесу (судового засідання) за допомогою технічних засобів відповідно до Інструкції про порядок роботи з технічними засобами фіксування судового процесу (судового засідання), Інструкції про порядок роботи з технічними засобами відеозапису ходу і результатів процесуальних дій проведених у режимі </w:t>
            </w:r>
            <w:proofErr w:type="spellStart"/>
            <w:r w:rsidRPr="000615D6">
              <w:rPr>
                <w:sz w:val="24"/>
                <w:szCs w:val="24"/>
              </w:rPr>
              <w:t>відеоконференції</w:t>
            </w:r>
            <w:proofErr w:type="spellEnd"/>
            <w:r w:rsidRPr="000615D6">
              <w:rPr>
                <w:sz w:val="24"/>
                <w:szCs w:val="24"/>
              </w:rPr>
              <w:t xml:space="preserve"> під час судового засіда</w:t>
            </w:r>
            <w:r>
              <w:rPr>
                <w:sz w:val="24"/>
                <w:szCs w:val="24"/>
              </w:rPr>
              <w:t xml:space="preserve">ння (кримінального провадження); 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15D6">
              <w:rPr>
                <w:sz w:val="24"/>
                <w:szCs w:val="24"/>
              </w:rPr>
              <w:t>едення журналу судового засіданн</w:t>
            </w:r>
            <w:r>
              <w:rPr>
                <w:sz w:val="24"/>
                <w:szCs w:val="24"/>
              </w:rPr>
              <w:t>я, протоколу судового засідання;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15D6">
              <w:rPr>
                <w:sz w:val="24"/>
                <w:szCs w:val="24"/>
              </w:rPr>
              <w:t>иготовлення виконавчих листів у справах, рішення в яких пі</w:t>
            </w:r>
            <w:r>
              <w:rPr>
                <w:sz w:val="24"/>
                <w:szCs w:val="24"/>
              </w:rPr>
              <w:t>длягають до негайного виконання;</w:t>
            </w:r>
          </w:p>
          <w:p w:rsidR="00F26673" w:rsidRPr="000615D6" w:rsidRDefault="00F26673" w:rsidP="00245D15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ф</w:t>
            </w:r>
            <w:r w:rsidRPr="000615D6">
              <w:rPr>
                <w:sz w:val="24"/>
                <w:szCs w:val="24"/>
              </w:rPr>
              <w:t>ормування та оформлення матеріалів та судових справ відповідно до Інструкції з діловодства в місцевих та апеля</w:t>
            </w:r>
            <w:r>
              <w:rPr>
                <w:sz w:val="24"/>
                <w:szCs w:val="24"/>
              </w:rPr>
              <w:t>ційних судах України;</w:t>
            </w:r>
          </w:p>
          <w:p w:rsidR="00F26673" w:rsidRPr="00D64B78" w:rsidRDefault="00F2667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в</w:t>
            </w:r>
            <w:r w:rsidRPr="000615D6">
              <w:rPr>
                <w:sz w:val="24"/>
                <w:szCs w:val="24"/>
              </w:rPr>
              <w:t>иконання доручень судді, керівника апарату</w:t>
            </w:r>
            <w:r>
              <w:rPr>
                <w:sz w:val="24"/>
                <w:szCs w:val="24"/>
              </w:rPr>
              <w:t xml:space="preserve"> суду</w:t>
            </w:r>
            <w:r w:rsidRPr="000615D6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заступника керівника апарату суду</w:t>
            </w:r>
            <w:r w:rsidRPr="000615D6">
              <w:rPr>
                <w:sz w:val="24"/>
                <w:szCs w:val="24"/>
              </w:rPr>
              <w:t>, що стосуються організації розгляду судових справ та матеріалів</w:t>
            </w:r>
            <w:r w:rsidR="008F45C3">
              <w:rPr>
                <w:sz w:val="24"/>
                <w:szCs w:val="24"/>
              </w:rPr>
              <w:t>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3C30BC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0615D6" w:rsidRDefault="00F26673" w:rsidP="00245D15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0615D6">
              <w:rPr>
                <w:sz w:val="24"/>
                <w:szCs w:val="24"/>
                <w:shd w:val="clear" w:color="auto" w:fill="FFFFFF"/>
              </w:rPr>
              <w:t xml:space="preserve"> 4 440 </w:t>
            </w: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F26673" w:rsidRPr="000615D6" w:rsidRDefault="00F26673" w:rsidP="00245D15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0615D6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8F45C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</w:tcPr>
          <w:p w:rsidR="00184422" w:rsidRPr="00184422" w:rsidRDefault="00184422" w:rsidP="00184422">
            <w:pPr>
              <w:pStyle w:val="a5"/>
              <w:tabs>
                <w:tab w:val="left" w:pos="451"/>
              </w:tabs>
              <w:ind w:left="73"/>
              <w:jc w:val="both"/>
              <w:rPr>
                <w:sz w:val="24"/>
                <w:szCs w:val="24"/>
              </w:rPr>
            </w:pPr>
            <w:r w:rsidRPr="00184422">
              <w:rPr>
                <w:sz w:val="24"/>
                <w:szCs w:val="24"/>
              </w:rPr>
              <w:t>Безстроково.</w:t>
            </w:r>
          </w:p>
          <w:p w:rsidR="00F26673" w:rsidRPr="003C30BC" w:rsidRDefault="00184422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84422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</w:tcPr>
          <w:p w:rsidR="00F26673" w:rsidRPr="0072578E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20BDA">
              <w:rPr>
                <w:lang w:val="uk-UA"/>
              </w:rPr>
              <w:t>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 про участь у конкурсі із зазначенням основних мотивів щодо зайняття посади за формою згі</w:t>
            </w:r>
            <w:r>
              <w:rPr>
                <w:lang w:val="uk-UA"/>
              </w:rPr>
              <w:t>д</w:t>
            </w:r>
            <w:r w:rsidRPr="00120BDA">
              <w:rPr>
                <w:lang w:val="uk-UA"/>
              </w:rPr>
              <w:t>но з додатком</w:t>
            </w:r>
            <w:r>
              <w:rPr>
                <w:lang w:val="uk-UA"/>
              </w:rPr>
              <w:t> </w:t>
            </w:r>
            <w:r w:rsidRPr="0072578E">
              <w:rPr>
                <w:lang w:val="uk-UA"/>
              </w:rPr>
              <w:t>2 Порядку проведення конкурсу на зайняття посад державної служби</w:t>
            </w:r>
            <w:r>
              <w:rPr>
                <w:lang w:val="uk-UA"/>
              </w:rPr>
              <w:t xml:space="preserve">, затвердженого постановою Кабінету Міністрів України 25 березня 2016 року № 246 (зі змінами)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– Порядок);</w:t>
            </w:r>
          </w:p>
          <w:p w:rsidR="00F26673" w:rsidRPr="00120BDA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резюме за формою згідно з додатком 2</w:t>
            </w:r>
            <w:r w:rsidRPr="004729A5">
              <w:rPr>
                <w:vertAlign w:val="super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 xml:space="preserve"> </w:t>
            </w:r>
            <w:r w:rsidRPr="0072578E">
              <w:rPr>
                <w:lang w:val="uk-UA"/>
              </w:rPr>
              <w:t>Порядку</w:t>
            </w:r>
            <w:r w:rsidRPr="00120BDA">
              <w:rPr>
                <w:lang w:val="uk-UA"/>
              </w:rPr>
              <w:t>, в якому обов’язково зазначається така інформація: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прізвище, ім’я, по батькові кандидата;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</w:t>
            </w:r>
            <w:r>
              <w:rPr>
                <w:lang w:val="uk-UA"/>
              </w:rPr>
              <w:t xml:space="preserve"> у відповідній сфері, визначеній в умовах конкурсу</w:t>
            </w:r>
            <w:r w:rsidRPr="00120BDA">
              <w:rPr>
                <w:lang w:val="uk-UA"/>
              </w:rPr>
              <w:t>;</w:t>
            </w:r>
          </w:p>
          <w:p w:rsidR="00F26673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заяв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>
              <w:rPr>
                <w:lang w:val="uk-UA"/>
              </w:rPr>
              <w:t>«</w:t>
            </w:r>
            <w:r w:rsidRPr="00120BDA">
              <w:rPr>
                <w:lang w:val="uk-UA"/>
              </w:rPr>
              <w:t>Про очищення влади</w:t>
            </w:r>
            <w:r>
              <w:rPr>
                <w:lang w:val="uk-UA"/>
              </w:rPr>
              <w:t>»</w:t>
            </w:r>
            <w:r w:rsidRPr="00120BDA">
              <w:rPr>
                <w:lang w:val="uk-UA"/>
              </w:rPr>
              <w:t>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Подача додатків до заяви не є обов’язковою. </w:t>
            </w:r>
          </w:p>
          <w:p w:rsidR="00F26673" w:rsidRDefault="00F26673" w:rsidP="00245D15">
            <w:pPr>
              <w:rPr>
                <w:sz w:val="24"/>
                <w:szCs w:val="24"/>
              </w:rPr>
            </w:pPr>
          </w:p>
          <w:p w:rsidR="00F26673" w:rsidRPr="006F6016" w:rsidRDefault="00F26673" w:rsidP="00245D15">
            <w:pPr>
              <w:jc w:val="both"/>
              <w:rPr>
                <w:bCs/>
                <w:sz w:val="24"/>
                <w:szCs w:val="24"/>
              </w:rPr>
            </w:pPr>
            <w:r w:rsidRPr="006F6016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F6016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65AA8">
              <w:t xml:space="preserve"> </w:t>
            </w:r>
            <w:r w:rsidRPr="00765AA8">
              <w:rPr>
                <w:bCs/>
              </w:rPr>
              <w:t xml:space="preserve">до </w:t>
            </w:r>
            <w:r w:rsidR="008F45C3">
              <w:rPr>
                <w:bCs/>
                <w:lang w:val="uk-UA"/>
              </w:rPr>
              <w:t>17</w:t>
            </w:r>
            <w:r w:rsidRPr="00765AA8">
              <w:rPr>
                <w:bCs/>
                <w:lang w:val="uk-UA"/>
              </w:rPr>
              <w:t xml:space="preserve">:00 </w:t>
            </w:r>
            <w:r w:rsidR="008F45C3">
              <w:rPr>
                <w:bCs/>
                <w:lang w:val="uk-UA"/>
              </w:rPr>
              <w:t xml:space="preserve">27 </w:t>
            </w:r>
            <w:r w:rsidR="00BE6F62">
              <w:rPr>
                <w:bCs/>
                <w:lang w:val="uk-UA"/>
              </w:rPr>
              <w:t>вересня</w:t>
            </w:r>
            <w:r w:rsidR="008F45C3">
              <w:rPr>
                <w:bCs/>
                <w:lang w:val="uk-UA"/>
              </w:rPr>
              <w:t xml:space="preserve"> </w:t>
            </w:r>
            <w:r w:rsidRPr="00765AA8">
              <w:rPr>
                <w:bCs/>
                <w:lang w:val="uk-UA"/>
              </w:rPr>
              <w:t xml:space="preserve"> </w:t>
            </w:r>
            <w:r w:rsidRPr="00765AA8">
              <w:rPr>
                <w:lang w:val="uk-UA"/>
              </w:rPr>
              <w:t>2021 року</w:t>
            </w:r>
          </w:p>
          <w:p w:rsidR="00F26673" w:rsidRPr="00765AA8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lang w:val="uk-UA"/>
              </w:rPr>
            </w:pP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Додаткові (необов’язкові) документи</w:t>
            </w:r>
          </w:p>
        </w:tc>
        <w:tc>
          <w:tcPr>
            <w:tcW w:w="6663" w:type="dxa"/>
          </w:tcPr>
          <w:p w:rsidR="00F26673" w:rsidRPr="00463F04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</w:rPr>
            </w:pPr>
            <w:r w:rsidRPr="009B0726"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E82C9B">
              <w:rPr>
                <w:b w:val="0"/>
                <w:sz w:val="24"/>
                <w:szCs w:val="24"/>
              </w:rPr>
              <w:t>Порядку проведення конкурсу на зайняття посад державної служби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F26673" w:rsidRPr="008F382E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26673" w:rsidRPr="003C30BC" w:rsidTr="00245D15">
        <w:trPr>
          <w:trHeight w:val="2943"/>
        </w:trPr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</w:tcPr>
          <w:p w:rsidR="00F26673" w:rsidRPr="00765AA8" w:rsidRDefault="00BE6F62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30 ве</w:t>
            </w:r>
            <w:r w:rsidR="008F45C3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ресня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10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:00</w:t>
            </w:r>
          </w:p>
          <w:p w:rsidR="00F26673" w:rsidRPr="00053B49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(проведення тестування за фізичної присутності кандидатів)</w:t>
            </w:r>
          </w:p>
          <w:p w:rsidR="00F26673" w:rsidRPr="00053B49" w:rsidRDefault="008F45C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26673"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(проведення співбесіди за фізичної присутності кандидатів)</w:t>
            </w:r>
          </w:p>
          <w:p w:rsidR="00F26673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</w:p>
          <w:p w:rsidR="00F26673" w:rsidRPr="009B0726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26673" w:rsidRPr="00683529" w:rsidTr="00245D15">
        <w:tc>
          <w:tcPr>
            <w:tcW w:w="2943" w:type="dxa"/>
            <w:gridSpan w:val="2"/>
            <w:shd w:val="clear" w:color="auto" w:fill="auto"/>
          </w:tcPr>
          <w:p w:rsidR="00F26673" w:rsidRPr="00683529" w:rsidRDefault="00F26673" w:rsidP="00245D15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AF510D">
              <w:rPr>
                <w:b w:val="0"/>
                <w:bCs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Pr="00AF510D">
              <w:rPr>
                <w:b w:val="0"/>
                <w:bCs/>
                <w:sz w:val="24"/>
                <w:szCs w:val="24"/>
              </w:rPr>
              <w:lastRenderedPageBreak/>
              <w:t>конкурсу</w:t>
            </w:r>
          </w:p>
        </w:tc>
        <w:tc>
          <w:tcPr>
            <w:tcW w:w="6663" w:type="dxa"/>
            <w:shd w:val="clear" w:color="auto" w:fill="auto"/>
          </w:tcPr>
          <w:p w:rsidR="008F45C3" w:rsidRPr="00EA78EE" w:rsidRDefault="008F45C3" w:rsidP="008F45C3">
            <w:pPr>
              <w:jc w:val="both"/>
              <w:rPr>
                <w:sz w:val="24"/>
                <w:szCs w:val="24"/>
              </w:rPr>
            </w:pPr>
            <w:r w:rsidRPr="00EA78EE">
              <w:rPr>
                <w:sz w:val="24"/>
                <w:szCs w:val="24"/>
              </w:rPr>
              <w:lastRenderedPageBreak/>
              <w:t>Матяш Валентина Петрівна,</w:t>
            </w:r>
          </w:p>
          <w:p w:rsidR="00F26673" w:rsidRPr="00683529" w:rsidRDefault="008F45C3" w:rsidP="008F45C3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</w:pPr>
            <w:r w:rsidRPr="00EA78EE">
              <w:rPr>
                <w:sz w:val="24"/>
                <w:szCs w:val="24"/>
              </w:rPr>
              <w:t xml:space="preserve">(04334) 2-22-73, </w:t>
            </w:r>
            <w:r w:rsidRPr="00EA78EE">
              <w:rPr>
                <w:b w:val="0"/>
                <w:bCs/>
                <w:color w:val="646464"/>
                <w:sz w:val="24"/>
                <w:szCs w:val="24"/>
                <w:shd w:val="clear" w:color="auto" w:fill="FFFFFF"/>
              </w:rPr>
              <w:t>matyash-v@ukr.net</w:t>
            </w:r>
          </w:p>
        </w:tc>
      </w:tr>
      <w:tr w:rsidR="00F26673" w:rsidRPr="003C30BC" w:rsidTr="00245D15">
        <w:trPr>
          <w:trHeight w:val="420"/>
        </w:trPr>
        <w:tc>
          <w:tcPr>
            <w:tcW w:w="9606" w:type="dxa"/>
            <w:gridSpan w:val="3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Освіта</w:t>
            </w:r>
          </w:p>
        </w:tc>
        <w:tc>
          <w:tcPr>
            <w:tcW w:w="6663" w:type="dxa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 xml:space="preserve">вища освіта ступеня не нижче </w:t>
            </w:r>
            <w:r w:rsidRPr="008F45C3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8F45C3">
              <w:rPr>
                <w:rFonts w:ascii="Times New Roman" w:hAnsi="Times New Roman" w:cs="Times New Roman"/>
                <w:b w:val="0"/>
                <w:sz w:val="24"/>
                <w:szCs w:val="24"/>
              </w:rPr>
              <w:t>у галузі знань Право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  <w:t>не потребує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3.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вільне володіння</w:t>
            </w:r>
            <w:r w:rsidR="009C7AB1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 xml:space="preserve"> державною мовою</w:t>
            </w:r>
          </w:p>
        </w:tc>
      </w:tr>
      <w:tr w:rsidR="00F26673" w:rsidRPr="003C30BC" w:rsidTr="00245D15">
        <w:trPr>
          <w:trHeight w:val="418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AB3727" w:rsidRDefault="00F26673" w:rsidP="00245D15">
            <w:pPr>
              <w:pStyle w:val="a3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AB372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860B69">
              <w:rPr>
                <w:bCs/>
                <w:sz w:val="24"/>
                <w:szCs w:val="24"/>
              </w:rPr>
              <w:t>Досягнення результатів</w:t>
            </w:r>
          </w:p>
        </w:tc>
        <w:tc>
          <w:tcPr>
            <w:tcW w:w="6663" w:type="dxa"/>
          </w:tcPr>
          <w:p w:rsidR="00F26673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</w:t>
            </w:r>
            <w:r w:rsidRPr="0029690C">
              <w:rPr>
                <w:sz w:val="24"/>
                <w:szCs w:val="24"/>
                <w:shd w:val="clear" w:color="auto" w:fill="FFFFFF"/>
              </w:rPr>
              <w:t>датність до чіткого бачен</w:t>
            </w:r>
            <w:r>
              <w:rPr>
                <w:sz w:val="24"/>
                <w:szCs w:val="24"/>
                <w:shd w:val="clear" w:color="auto" w:fill="FFFFFF"/>
              </w:rPr>
              <w:t>ня</w:t>
            </w:r>
            <w:r w:rsidRPr="0029690C">
              <w:rPr>
                <w:sz w:val="24"/>
                <w:szCs w:val="24"/>
                <w:shd w:val="clear" w:color="auto" w:fill="FFFFFF"/>
              </w:rPr>
              <w:t xml:space="preserve"> результату діяльн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29690C">
              <w:rPr>
                <w:sz w:val="24"/>
                <w:szCs w:val="24"/>
                <w:shd w:val="clear" w:color="auto" w:fill="FFFFFF"/>
              </w:rPr>
              <w:t>сті</w:t>
            </w:r>
          </w:p>
          <w:p w:rsidR="00F26673" w:rsidRPr="0029690C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DE43AA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43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 w:rsidRPr="00575B59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F26673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575B5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нести відповідальність за можливі наслідки реалізації таких рішень;</w:t>
            </w:r>
          </w:p>
          <w:p w:rsidR="00F26673" w:rsidRPr="00575B59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Самоорганізація та самостійність у роботі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Цифрова грамотність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F26673" w:rsidRPr="003C30BC" w:rsidTr="00245D15">
        <w:trPr>
          <w:trHeight w:val="559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4D5FAA" w:rsidRDefault="00F26673" w:rsidP="00245D15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D5F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Конституції України;</w:t>
            </w:r>
          </w:p>
          <w:p w:rsidR="00F26673" w:rsidRPr="00860B69" w:rsidRDefault="00F26673" w:rsidP="00245D15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державну службу»;</w:t>
            </w:r>
          </w:p>
          <w:p w:rsidR="00F26673" w:rsidRPr="00860B69" w:rsidRDefault="00F26673" w:rsidP="00245D15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запобігання корупції»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та іншого законодавства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</w:tcPr>
          <w:p w:rsidR="00F26673" w:rsidRDefault="00F26673" w:rsidP="00245D15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F04D05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F26673" w:rsidRDefault="00F26673" w:rsidP="00245D15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F26673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Style w:val="rvts9"/>
                <w:bCs/>
                <w:sz w:val="24"/>
                <w:szCs w:val="24"/>
                <w:shd w:val="clear" w:color="auto" w:fill="FFFFFF"/>
              </w:rPr>
            </w:pPr>
            <w:r w:rsidRPr="00F04D05">
              <w:rPr>
                <w:rStyle w:val="rvts23"/>
                <w:bCs/>
                <w:sz w:val="24"/>
                <w:szCs w:val="24"/>
                <w:shd w:val="clear" w:color="auto" w:fill="FFFFFF"/>
              </w:rPr>
              <w:t>Інструкці</w:t>
            </w: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>ї</w:t>
            </w:r>
            <w:r w:rsidRPr="00F04D05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 з діловодства в місцевих та апеляційних судах України, затверджен</w:t>
            </w: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>ої</w:t>
            </w:r>
            <w:r w:rsidRPr="00F04D05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4D05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F04D05">
              <w:rPr>
                <w:bCs/>
                <w:sz w:val="24"/>
                <w:szCs w:val="24"/>
              </w:rPr>
              <w:br/>
            </w:r>
            <w:r w:rsidRPr="00F04D05"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4D05">
              <w:rPr>
                <w:rStyle w:val="rvts9"/>
                <w:bCs/>
                <w:sz w:val="24"/>
                <w:szCs w:val="24"/>
                <w:shd w:val="clear" w:color="auto" w:fill="FFFFFF"/>
              </w:rPr>
              <w:t>20.08.2019  № 814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змінами);</w:t>
            </w:r>
          </w:p>
          <w:p w:rsidR="00F26673" w:rsidRPr="00FD6285" w:rsidRDefault="00F26673" w:rsidP="00245D15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 від 20.09.2012 № 108</w:t>
            </w:r>
          </w:p>
        </w:tc>
      </w:tr>
      <w:tr w:rsidR="003868C8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3868C8" w:rsidRPr="003F0866" w:rsidRDefault="003868C8" w:rsidP="00FF2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F0866">
              <w:rPr>
                <w:sz w:val="24"/>
                <w:szCs w:val="24"/>
              </w:rPr>
              <w:t>3</w:t>
            </w:r>
            <w:r w:rsidRPr="003F08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3868C8" w:rsidRPr="00456ACD" w:rsidRDefault="003868C8" w:rsidP="0045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/>
              <w:rPr>
                <w:color w:val="000000"/>
                <w:sz w:val="24"/>
                <w:szCs w:val="24"/>
              </w:rPr>
            </w:pPr>
            <w:r w:rsidRPr="003F0866">
              <w:rPr>
                <w:color w:val="000000"/>
                <w:sz w:val="24"/>
                <w:szCs w:val="24"/>
              </w:rPr>
              <w:t xml:space="preserve">Знання системи </w:t>
            </w:r>
            <w:r w:rsidR="00456ACD">
              <w:rPr>
                <w:color w:val="000000"/>
                <w:sz w:val="24"/>
                <w:szCs w:val="24"/>
              </w:rPr>
              <w:t>проведення судового засідання</w:t>
            </w:r>
          </w:p>
        </w:tc>
        <w:tc>
          <w:tcPr>
            <w:tcW w:w="6663" w:type="dxa"/>
          </w:tcPr>
          <w:p w:rsidR="003868C8" w:rsidRDefault="00E7559C" w:rsidP="002C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20"/>
              <w:ind w:left="135" w:right="125"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судового засідання в режимі відео конференцій за допомогою програмного забезпечення. </w:t>
            </w:r>
          </w:p>
          <w:p w:rsidR="002C2AE4" w:rsidRPr="003F0866" w:rsidRDefault="002C2AE4" w:rsidP="002C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20"/>
              <w:ind w:left="135" w:right="125" w:firstLine="28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Налаштування конференцій.</w:t>
            </w:r>
          </w:p>
        </w:tc>
      </w:tr>
    </w:tbl>
    <w:p w:rsidR="003B69AF" w:rsidRDefault="003B69AF"/>
    <w:sectPr w:rsidR="003B69AF" w:rsidSect="00F2667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73"/>
    <w:rsid w:val="00184422"/>
    <w:rsid w:val="002A25AB"/>
    <w:rsid w:val="002C2AE4"/>
    <w:rsid w:val="003868C8"/>
    <w:rsid w:val="003B69AF"/>
    <w:rsid w:val="00451CAD"/>
    <w:rsid w:val="00456ACD"/>
    <w:rsid w:val="004E2A90"/>
    <w:rsid w:val="008F45C3"/>
    <w:rsid w:val="009C7AB1"/>
    <w:rsid w:val="009E1DFC"/>
    <w:rsid w:val="00BE6F62"/>
    <w:rsid w:val="00CA024A"/>
    <w:rsid w:val="00E736AD"/>
    <w:rsid w:val="00E7559C"/>
    <w:rsid w:val="00F2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6673"/>
    <w:rPr>
      <w:b/>
      <w:sz w:val="28"/>
    </w:rPr>
  </w:style>
  <w:style w:type="character" w:customStyle="1" w:styleId="a4">
    <w:name w:val="Основной текст Знак"/>
    <w:basedOn w:val="a0"/>
    <w:link w:val="a3"/>
    <w:rsid w:val="00F2667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26673"/>
    <w:pPr>
      <w:ind w:left="708"/>
    </w:pPr>
  </w:style>
  <w:style w:type="character" w:customStyle="1" w:styleId="Exact">
    <w:name w:val="Основной текст Exact"/>
    <w:uiPriority w:val="99"/>
    <w:rsid w:val="00F26673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1">
    <w:name w:val="Основной текст Знак1"/>
    <w:uiPriority w:val="99"/>
    <w:rsid w:val="00F266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F26673"/>
    <w:rPr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"/>
    <w:uiPriority w:val="99"/>
    <w:rsid w:val="00F26673"/>
    <w:rPr>
      <w:b/>
      <w:bCs/>
      <w:sz w:val="25"/>
      <w:szCs w:val="25"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667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rvts23">
    <w:name w:val="rvts23"/>
    <w:rsid w:val="00F26673"/>
  </w:style>
  <w:style w:type="character" w:customStyle="1" w:styleId="rvts9">
    <w:name w:val="rvts9"/>
    <w:rsid w:val="00F26673"/>
  </w:style>
  <w:style w:type="paragraph" w:customStyle="1" w:styleId="rvps2">
    <w:name w:val="rvps2"/>
    <w:basedOn w:val="a"/>
    <w:rsid w:val="00F2667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F26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16DD-59D4-4132-825A-569DB98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4126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2</cp:revision>
  <cp:lastPrinted>2021-09-03T06:05:00Z</cp:lastPrinted>
  <dcterms:created xsi:type="dcterms:W3CDTF">2021-09-06T13:33:00Z</dcterms:created>
  <dcterms:modified xsi:type="dcterms:W3CDTF">2021-09-06T13:33:00Z</dcterms:modified>
</cp:coreProperties>
</file>