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>від 0</w:t>
      </w:r>
      <w:r w:rsidR="00DF3B3E" w:rsidRPr="0068355F">
        <w:rPr>
          <w:sz w:val="24"/>
          <w:szCs w:val="24"/>
        </w:rPr>
        <w:t xml:space="preserve">9 </w:t>
      </w:r>
      <w:r w:rsidR="001D729D">
        <w:rPr>
          <w:sz w:val="24"/>
          <w:szCs w:val="24"/>
        </w:rPr>
        <w:t>квітня 2021 року № 142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68355F">
        <w:rPr>
          <w:b/>
          <w:sz w:val="28"/>
          <w:szCs w:val="28"/>
        </w:rPr>
        <w:t>консультанта суду</w:t>
      </w:r>
      <w:r w:rsidR="002D264E" w:rsidRPr="002D264E">
        <w:rPr>
          <w:b/>
          <w:sz w:val="28"/>
          <w:szCs w:val="28"/>
        </w:rPr>
        <w:t xml:space="preserve"> відділу інформаційно-технічного забезпечення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 w:rsidP="001D729D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1D729D" w:rsidRPr="001D729D" w:rsidRDefault="001D729D" w:rsidP="001D729D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D729D">
              <w:rPr>
                <w:sz w:val="24"/>
                <w:szCs w:val="24"/>
              </w:rPr>
              <w:t>абезпечення інформування працівників суду про зміни в чинному законодавстві України, про судову практику судових органів вищого рівня, про рішення Конституційного Суду України, про інформацій</w:t>
            </w:r>
            <w:r w:rsidRPr="001D729D">
              <w:rPr>
                <w:sz w:val="24"/>
                <w:szCs w:val="24"/>
              </w:rPr>
              <w:t>но-аналітичні та правові новини;</w:t>
            </w:r>
          </w:p>
          <w:p w:rsidR="001D729D" w:rsidRPr="001D729D" w:rsidRDefault="00832CC7" w:rsidP="001D729D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1D729D">
              <w:t> </w:t>
            </w:r>
            <w:r w:rsidR="001D729D" w:rsidRPr="001D729D">
              <w:rPr>
                <w:lang w:val="uk-UA"/>
              </w:rPr>
              <w:t>о</w:t>
            </w:r>
            <w:r w:rsidR="001D729D" w:rsidRPr="001D729D">
              <w:rPr>
                <w:lang w:val="uk-UA"/>
              </w:rPr>
              <w:t>рганізація роботи бібліотеки суду: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обробка, облік надходження систематизація, зберігання, використання, списання бібліотечних фондів;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надання допомоги в доборі потрібної для працівників суду наявної в бібліотеці юридичної літератури;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виготовлення довідки про роботу бібліотеки у звітному періоді;</w:t>
            </w:r>
          </w:p>
          <w:p w:rsidR="007815DF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ведення та зберіган</w:t>
            </w:r>
            <w:r w:rsidRPr="001D729D">
              <w:rPr>
                <w:sz w:val="24"/>
                <w:szCs w:val="24"/>
              </w:rPr>
              <w:t>ня номенклатурних справ відділу;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D729D">
              <w:rPr>
                <w:sz w:val="24"/>
                <w:szCs w:val="24"/>
              </w:rPr>
              <w:t>абезпечення оформлення проектів доручень суду, адресованих компетентним органам інших держав, про виконання окремих процесуальних дій, про вручення судових документів, про екстрадицію правопорушників на територію України; оформлює клопотання про визнання та виконання рішень суду на території інших держав; надання методичної допомоги працівникам з питань оформлення та виконання доручень судів іноземних держав відповідно до Конвенції про правову допомогу та правові відносини міжнародно-правових договорів України про правову допомогу, ратифі</w:t>
            </w:r>
            <w:r w:rsidRPr="001D729D">
              <w:rPr>
                <w:sz w:val="24"/>
                <w:szCs w:val="24"/>
              </w:rPr>
              <w:t>кованих Верховною Радою України;</w:t>
            </w:r>
          </w:p>
          <w:p w:rsidR="00832CC7" w:rsidRPr="006114CA" w:rsidRDefault="001D729D" w:rsidP="001D729D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1D729D">
              <w:rPr>
                <w:rStyle w:val="1"/>
                <w:rFonts w:eastAsia="Calibri"/>
                <w:sz w:val="24"/>
                <w:szCs w:val="24"/>
                <w:lang w:bidi="uk-UA"/>
              </w:rPr>
              <w:t>р</w:t>
            </w:r>
            <w:r w:rsidRPr="001D729D">
              <w:rPr>
                <w:sz w:val="24"/>
                <w:szCs w:val="24"/>
              </w:rPr>
              <w:t>озгляд звернень та виготовлення проектів відповідей на них.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815DF">
              <w:rPr>
                <w:sz w:val="24"/>
                <w:szCs w:val="24"/>
                <w:shd w:val="clear" w:color="auto" w:fill="FFFFFF"/>
              </w:rPr>
              <w:t>4 440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Перелік інформації, </w:t>
            </w: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 xml:space="preserve">заява про участь у конкурсі із зазначенням основних </w:t>
            </w:r>
            <w:r w:rsidRPr="006114CA">
              <w:rPr>
                <w:lang w:val="uk-UA"/>
              </w:rPr>
              <w:lastRenderedPageBreak/>
              <w:t xml:space="preserve">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3D653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3D653A">
              <w:t xml:space="preserve"> </w:t>
            </w:r>
            <w:r w:rsidRPr="003D653A">
              <w:rPr>
                <w:bCs/>
              </w:rPr>
              <w:t xml:space="preserve">до </w:t>
            </w:r>
            <w:r w:rsidRPr="003D653A">
              <w:rPr>
                <w:bCs/>
                <w:lang w:val="uk-UA"/>
              </w:rPr>
              <w:t xml:space="preserve">18:00 </w:t>
            </w:r>
            <w:r w:rsidR="002D264E" w:rsidRPr="003D653A">
              <w:rPr>
                <w:bCs/>
                <w:lang w:val="uk-UA"/>
              </w:rPr>
              <w:t>15</w:t>
            </w:r>
            <w:r w:rsidRPr="003D653A">
              <w:rPr>
                <w:bCs/>
                <w:lang w:val="uk-UA"/>
              </w:rPr>
              <w:t xml:space="preserve"> квітня</w:t>
            </w:r>
            <w:r w:rsidRPr="003D653A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3D653A" w:rsidRDefault="00832CC7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 w:rsidRPr="003D653A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20 </w:t>
            </w:r>
            <w:r w:rsidR="006114CA" w:rsidRPr="003D653A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квітня 2021 року о 1</w:t>
            </w:r>
            <w:r w:rsidR="003D653A" w:rsidRPr="003D653A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4</w:t>
            </w:r>
            <w:r w:rsidR="006114CA" w:rsidRPr="003D653A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941013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94101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Ефективність координації з іншими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013" w:rsidRDefault="005E6AAC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Здатність налагоджувати зв’язки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</w:p>
          <w:p w:rsidR="005E6AAC" w:rsidRPr="006114CA" w:rsidRDefault="005E6AAC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уміння конструктивного обміну інформацією, узгодження та упорядкування дій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 w:rsidR="00EE62D1">
              <w:rPr>
                <w:sz w:val="24"/>
                <w:szCs w:val="24"/>
              </w:rPr>
              <w:t>;</w:t>
            </w:r>
          </w:p>
          <w:p w:rsidR="00EE62D1" w:rsidRPr="00EE62D1" w:rsidRDefault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3D653A">
        <w:trPr>
          <w:trHeight w:val="14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3D653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3D653A" w:rsidRPr="006114CA" w:rsidTr="003D653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53A" w:rsidRPr="006114CA" w:rsidRDefault="003D653A" w:rsidP="003D653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53A" w:rsidRPr="006114CA" w:rsidRDefault="003D653A" w:rsidP="003D653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53A" w:rsidRDefault="003D653A" w:rsidP="003D653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E376B7">
              <w:rPr>
                <w:rFonts w:eastAsiaTheme="minorEastAsia"/>
                <w:sz w:val="24"/>
                <w:szCs w:val="24"/>
              </w:rPr>
              <w:t>Закон</w:t>
            </w:r>
            <w:r>
              <w:rPr>
                <w:rFonts w:eastAsiaTheme="minorEastAsia"/>
                <w:sz w:val="24"/>
                <w:szCs w:val="24"/>
              </w:rPr>
              <w:t>у</w:t>
            </w:r>
            <w:r w:rsidRPr="00E376B7">
              <w:rPr>
                <w:rFonts w:eastAsiaTheme="minorEastAsia"/>
                <w:sz w:val="24"/>
                <w:szCs w:val="24"/>
              </w:rPr>
              <w:t xml:space="preserve"> України «Про доступ до судових рішень»;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E376B7">
              <w:rPr>
                <w:rFonts w:eastAsiaTheme="minorEastAsia"/>
                <w:sz w:val="24"/>
                <w:szCs w:val="24"/>
              </w:rPr>
              <w:t>Закон</w:t>
            </w:r>
            <w:r>
              <w:rPr>
                <w:rFonts w:eastAsiaTheme="minorEastAsia"/>
                <w:sz w:val="24"/>
                <w:szCs w:val="24"/>
              </w:rPr>
              <w:t>у</w:t>
            </w:r>
            <w:r w:rsidRPr="00E376B7">
              <w:rPr>
                <w:rFonts w:eastAsiaTheme="minorEastAsia"/>
                <w:sz w:val="24"/>
                <w:szCs w:val="24"/>
              </w:rPr>
              <w:t xml:space="preserve"> України «Про міжнародні договори України»;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7BEB">
              <w:rPr>
                <w:rFonts w:eastAsiaTheme="minorEastAsia"/>
                <w:sz w:val="24"/>
                <w:szCs w:val="24"/>
              </w:rPr>
              <w:t>Закон</w:t>
            </w:r>
            <w:r>
              <w:rPr>
                <w:rFonts w:eastAsiaTheme="minorEastAsia"/>
                <w:sz w:val="24"/>
                <w:szCs w:val="24"/>
              </w:rPr>
              <w:t>у</w:t>
            </w:r>
            <w:r w:rsidRPr="00847BEB">
              <w:rPr>
                <w:rFonts w:eastAsiaTheme="minorEastAsia"/>
                <w:sz w:val="24"/>
                <w:szCs w:val="24"/>
              </w:rPr>
              <w:t xml:space="preserve"> України «Про виконання рішень та застосування практики Європейського суду з прав людини»;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pacing w:val="1"/>
                <w:sz w:val="24"/>
                <w:szCs w:val="24"/>
                <w:lang w:eastAsia="uk-UA"/>
              </w:rPr>
            </w:pPr>
            <w:r w:rsidRPr="00847BEB">
              <w:rPr>
                <w:rFonts w:eastAsiaTheme="minorEastAsia"/>
                <w:spacing w:val="1"/>
                <w:sz w:val="24"/>
                <w:szCs w:val="24"/>
                <w:lang w:eastAsia="uk-UA"/>
              </w:rPr>
              <w:t>Закон</w:t>
            </w:r>
            <w:r>
              <w:rPr>
                <w:rFonts w:eastAsiaTheme="minorEastAsia"/>
                <w:spacing w:val="1"/>
                <w:sz w:val="24"/>
                <w:szCs w:val="24"/>
                <w:lang w:eastAsia="uk-UA"/>
              </w:rPr>
              <w:t>у</w:t>
            </w:r>
            <w:r w:rsidRPr="00847BEB">
              <w:rPr>
                <w:rFonts w:eastAsiaTheme="minorEastAsia"/>
                <w:spacing w:val="1"/>
                <w:sz w:val="24"/>
                <w:szCs w:val="24"/>
                <w:lang w:eastAsia="uk-UA"/>
              </w:rPr>
              <w:t xml:space="preserve"> України «Про інформацію»;</w:t>
            </w:r>
          </w:p>
          <w:p w:rsidR="003D653A" w:rsidRPr="00945246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945246">
              <w:rPr>
                <w:rFonts w:eastAsiaTheme="minorEastAsia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Інструкції про порядок здійснення міжнародного співробітництва з питань взаємної правової допомоги, видачі правопорушників (екстрадиції), передачі (прийняття) засуджених осіб, виконання вироків та інших питань міжнародного судового співробітництва у кримінальному провадженні під час судового провадження, затвердженої наказом Міністерства юстиції України від 19.08.2019 від </w:t>
            </w:r>
            <w:r w:rsidRPr="00945246">
              <w:rPr>
                <w:rFonts w:eastAsiaTheme="minorEastAsia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2599/5, зареєстрованої в Міністерстві юстиції України 22.08.2019 за № 956/33927</w:t>
            </w:r>
            <w:r>
              <w:rPr>
                <w:rFonts w:eastAsiaTheme="minorEastAsia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;</w:t>
            </w:r>
          </w:p>
          <w:p w:rsidR="003D653A" w:rsidRPr="006114CA" w:rsidRDefault="003D653A" w:rsidP="003D653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 (зі змінами)</w:t>
            </w:r>
          </w:p>
          <w:p w:rsidR="003D653A" w:rsidRPr="006114CA" w:rsidRDefault="003D653A" w:rsidP="003D653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</w:p>
          <w:p w:rsidR="003D653A" w:rsidRPr="006114CA" w:rsidRDefault="003D653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bookmarkStart w:id="0" w:name="_GoBack"/>
            <w:bookmarkEnd w:id="0"/>
          </w:p>
        </w:tc>
      </w:tr>
    </w:tbl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124020"/>
    <w:rsid w:val="00155C59"/>
    <w:rsid w:val="00193F2E"/>
    <w:rsid w:val="001D729D"/>
    <w:rsid w:val="002D264E"/>
    <w:rsid w:val="003D653A"/>
    <w:rsid w:val="00524EB1"/>
    <w:rsid w:val="005D19BF"/>
    <w:rsid w:val="005E6AAC"/>
    <w:rsid w:val="006114CA"/>
    <w:rsid w:val="006426B6"/>
    <w:rsid w:val="0068355F"/>
    <w:rsid w:val="007815DF"/>
    <w:rsid w:val="00792AEF"/>
    <w:rsid w:val="007B458D"/>
    <w:rsid w:val="00832CC7"/>
    <w:rsid w:val="00847BEB"/>
    <w:rsid w:val="00875C07"/>
    <w:rsid w:val="008969AE"/>
    <w:rsid w:val="00941013"/>
    <w:rsid w:val="00945246"/>
    <w:rsid w:val="00AA775C"/>
    <w:rsid w:val="00AB1CC2"/>
    <w:rsid w:val="00D3254A"/>
    <w:rsid w:val="00D70F0C"/>
    <w:rsid w:val="00DF3B3E"/>
    <w:rsid w:val="00E376B7"/>
    <w:rsid w:val="00EE62D1"/>
    <w:rsid w:val="00F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Normal (Web)"/>
    <w:basedOn w:val="a"/>
    <w:rsid w:val="001D729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Normal (Web)"/>
    <w:basedOn w:val="a"/>
    <w:rsid w:val="001D729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D2FB-B37A-481C-8AE8-95725ECB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4521</Words>
  <Characters>2578</Characters>
  <Application>Microsoft Office Word</Application>
  <DocSecurity>0</DocSecurity>
  <Lines>21</Lines>
  <Paragraphs>14</Paragraphs>
  <ScaleCrop>false</ScaleCrop>
  <Company>diakov.net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2021-04-01T11:26:00Z</dcterms:created>
  <dcterms:modified xsi:type="dcterms:W3CDTF">2021-04-09T12:07:00Z</dcterms:modified>
</cp:coreProperties>
</file>