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CE029A" w:rsidP="006114CA">
      <w:pPr>
        <w:tabs>
          <w:tab w:val="left" w:pos="5245"/>
        </w:tabs>
        <w:ind w:left="5812"/>
        <w:rPr>
          <w:sz w:val="24"/>
          <w:szCs w:val="24"/>
        </w:rPr>
      </w:pPr>
      <w:r>
        <w:rPr>
          <w:sz w:val="24"/>
          <w:szCs w:val="24"/>
        </w:rPr>
        <w:t>Додаток № 1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6114CA">
        <w:rPr>
          <w:sz w:val="24"/>
          <w:szCs w:val="24"/>
        </w:rPr>
        <w:t xml:space="preserve">від </w:t>
      </w:r>
      <w:r w:rsidR="00E76D78">
        <w:rPr>
          <w:sz w:val="24"/>
          <w:szCs w:val="24"/>
        </w:rPr>
        <w:t>11 травня</w:t>
      </w:r>
      <w:r w:rsidR="00093658">
        <w:rPr>
          <w:sz w:val="24"/>
          <w:szCs w:val="24"/>
        </w:rPr>
        <w:t xml:space="preserve"> 2021 року № </w:t>
      </w:r>
      <w:r w:rsidR="00E76D78">
        <w:rPr>
          <w:sz w:val="24"/>
          <w:szCs w:val="24"/>
        </w:rPr>
        <w:t>239</w:t>
      </w:r>
      <w:bookmarkStart w:id="0" w:name="_GoBack"/>
      <w:bookmarkEnd w:id="0"/>
      <w:r w:rsidRPr="006114CA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2D264E" w:rsidRPr="002D264E" w:rsidRDefault="006114CA" w:rsidP="002D264E">
      <w:pPr>
        <w:jc w:val="center"/>
        <w:rPr>
          <w:b/>
          <w:sz w:val="28"/>
          <w:szCs w:val="28"/>
        </w:rPr>
      </w:pPr>
      <w:r w:rsidRPr="002D264E">
        <w:rPr>
          <w:b/>
          <w:sz w:val="28"/>
          <w:szCs w:val="28"/>
        </w:rPr>
        <w:t xml:space="preserve">проведення конкурсу на зайняття посади державної служби категорії «В» - </w:t>
      </w:r>
      <w:r w:rsidR="008865AB">
        <w:rPr>
          <w:b/>
          <w:sz w:val="28"/>
          <w:szCs w:val="28"/>
        </w:rPr>
        <w:t>судового розпорядника відділу служби судових розпорядників та матеріально-господарського забезпечення</w:t>
      </w:r>
      <w:r w:rsidR="002D264E" w:rsidRPr="002D264E">
        <w:rPr>
          <w:b/>
          <w:sz w:val="28"/>
          <w:szCs w:val="28"/>
        </w:rPr>
        <w:t xml:space="preserve"> Вінницького міського суду Вінницької </w:t>
      </w:r>
      <w:r w:rsidR="002D264E">
        <w:rPr>
          <w:b/>
          <w:sz w:val="28"/>
          <w:szCs w:val="28"/>
        </w:rPr>
        <w:t>області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6114CA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7815DF" w:rsidRPr="00093658" w:rsidRDefault="00093658" w:rsidP="007815DF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  <w:shd w:val="clear" w:color="auto" w:fill="FFFFFF"/>
              </w:rPr>
              <w:t xml:space="preserve">абезпечення  належного стану залу судового засідання і запрошує до нього учасників судового процес, а також </w:t>
            </w:r>
            <w:r w:rsidRPr="00093658">
              <w:rPr>
                <w:sz w:val="24"/>
                <w:szCs w:val="24"/>
              </w:rPr>
              <w:t xml:space="preserve"> забезпечення готовності залу судового засідання до розгляду справи, іншого приміщення у разі проведення виїзного засідання</w:t>
            </w:r>
            <w:r>
              <w:rPr>
                <w:sz w:val="24"/>
                <w:szCs w:val="24"/>
              </w:rPr>
              <w:t>;</w:t>
            </w:r>
          </w:p>
          <w:p w:rsidR="00093658" w:rsidRPr="00093658" w:rsidRDefault="00093658" w:rsidP="007815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</w:rPr>
              <w:t>абезпечення неухильного виконання розпоряджень головуючого судді пов’язаних із забезпеченням умов, необхідних для здійснення судового провадження. порядку під час судового засідання</w:t>
            </w:r>
            <w:r>
              <w:rPr>
                <w:sz w:val="24"/>
                <w:szCs w:val="24"/>
              </w:rPr>
              <w:t>;</w:t>
            </w:r>
          </w:p>
          <w:p w:rsidR="00832CC7" w:rsidRPr="00093658" w:rsidRDefault="00093658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  <w:lang w:bidi="uk-UA"/>
              </w:rPr>
              <w:t>о</w:t>
            </w:r>
            <w:r w:rsidRPr="00093658">
              <w:rPr>
                <w:sz w:val="24"/>
                <w:szCs w:val="24"/>
              </w:rPr>
              <w:t>рганізація забезпечення невідкладного розгляду справи з питань, що виникли в процесі її слухання, за розпорядженням головуючого здійснює термінову доставку в установи та організації, а також фізичним особам листи-виклики тощо</w:t>
            </w:r>
            <w:r>
              <w:rPr>
                <w:sz w:val="24"/>
                <w:szCs w:val="24"/>
              </w:rPr>
              <w:t>;</w:t>
            </w:r>
          </w:p>
          <w:p w:rsidR="00093658" w:rsidRPr="00093658" w:rsidRDefault="00093658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</w:rPr>
              <w:t>абезпечення дотримання вимог процесуального законодавства з метою обмеження спілкування свідків, які вже були допитані судом, із тими свідками, яких суд ще не допитав</w:t>
            </w:r>
            <w:r>
              <w:rPr>
                <w:sz w:val="24"/>
                <w:szCs w:val="24"/>
              </w:rPr>
              <w:t>;</w:t>
            </w:r>
          </w:p>
          <w:p w:rsidR="00093658" w:rsidRPr="006114CA" w:rsidRDefault="00093658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>
              <w:rPr>
                <w:rStyle w:val="1"/>
                <w:rFonts w:eastAsia="Calibri"/>
                <w:sz w:val="24"/>
                <w:szCs w:val="24"/>
                <w:lang w:bidi="uk-UA"/>
              </w:rPr>
              <w:t>з</w:t>
            </w:r>
            <w:r w:rsidRPr="00093658">
              <w:rPr>
                <w:sz w:val="24"/>
                <w:szCs w:val="24"/>
              </w:rPr>
              <w:t>абезпечення виконання вимог процесуального законодавства щодо проведення закритого судового засідання та вживати заходів щодо обмеження входу до зали судового засідання сторонніх осіб.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A72A37">
              <w:rPr>
                <w:sz w:val="24"/>
                <w:szCs w:val="24"/>
                <w:shd w:val="clear" w:color="auto" w:fill="FFFFFF"/>
              </w:rPr>
              <w:t>4 394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42" w:rsidRPr="006114CA" w:rsidRDefault="007D6842" w:rsidP="007D6842">
            <w:pPr>
              <w:jc w:val="both"/>
              <w:rPr>
                <w:sz w:val="24"/>
                <w:szCs w:val="24"/>
              </w:rPr>
            </w:pPr>
            <w:proofErr w:type="spellStart"/>
            <w:r w:rsidRPr="006114CA">
              <w:rPr>
                <w:rStyle w:val="1"/>
                <w:rFonts w:eastAsia="Calibri"/>
                <w:bCs/>
                <w:sz w:val="24"/>
                <w:szCs w:val="24"/>
              </w:rPr>
              <w:t>строково</w:t>
            </w:r>
            <w:proofErr w:type="spellEnd"/>
            <w:r w:rsidRPr="006114CA">
              <w:rPr>
                <w:rStyle w:val="1"/>
                <w:rFonts w:eastAsia="Calibri"/>
                <w:bCs/>
                <w:sz w:val="24"/>
                <w:szCs w:val="24"/>
              </w:rPr>
              <w:t xml:space="preserve">, </w:t>
            </w:r>
            <w:r w:rsidRPr="006114CA">
              <w:rPr>
                <w:sz w:val="24"/>
                <w:szCs w:val="24"/>
              </w:rPr>
              <w:t>на період відпустки основного працівника для догляду за дитиною до досягнення нею трирічного віку.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</w:t>
            </w:r>
            <w:r w:rsidRPr="006114CA">
              <w:rPr>
                <w:lang w:val="uk-UA"/>
              </w:rPr>
              <w:lastRenderedPageBreak/>
              <w:t xml:space="preserve">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6114CA">
              <w:t xml:space="preserve"> </w:t>
            </w:r>
            <w:r w:rsidRPr="00093658">
              <w:rPr>
                <w:bCs/>
              </w:rPr>
              <w:t xml:space="preserve">до </w:t>
            </w:r>
            <w:r w:rsidRPr="00093658">
              <w:rPr>
                <w:bCs/>
                <w:lang w:val="uk-UA"/>
              </w:rPr>
              <w:t xml:space="preserve">18:00 </w:t>
            </w:r>
            <w:r w:rsidR="007D6842">
              <w:rPr>
                <w:bCs/>
                <w:lang w:val="uk-UA"/>
              </w:rPr>
              <w:t>17 травня</w:t>
            </w:r>
            <w:r w:rsidRPr="00093658">
              <w:rPr>
                <w:lang w:val="uk-UA"/>
              </w:rPr>
              <w:t xml:space="preserve"> 2021 року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093658" w:rsidRDefault="007D6842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20 травня 2021 року о 12</w:t>
            </w:r>
            <w:r w:rsidR="006114CA" w:rsidRPr="00093658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pStyle w:val="a3"/>
              <w:tabs>
                <w:tab w:val="left" w:pos="446"/>
              </w:tabs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  <w:p w:rsidR="007D6842" w:rsidRDefault="007D6842">
            <w:pPr>
              <w:pStyle w:val="a3"/>
              <w:tabs>
                <w:tab w:val="left" w:pos="446"/>
              </w:tabs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</w:p>
          <w:p w:rsidR="007D6842" w:rsidRPr="006114CA" w:rsidRDefault="007D6842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молодшого бакалавра або бакалавра у галузі знань «Право»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941013" w:rsidRPr="006114CA" w:rsidTr="0094101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F75C59">
        <w:trPr>
          <w:trHeight w:val="190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F75C59" w:rsidRPr="006114CA" w:rsidRDefault="006114CA" w:rsidP="00F75C59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75C59" w:rsidRPr="006114CA" w:rsidTr="00F75C59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5C59" w:rsidRPr="006114CA" w:rsidRDefault="00F75C59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5C59" w:rsidRPr="006114CA" w:rsidRDefault="00F75C59" w:rsidP="00F75C59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C59" w:rsidRDefault="00F75C59" w:rsidP="00F75C59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  <w:r>
              <w:rPr>
                <w:sz w:val="24"/>
                <w:szCs w:val="24"/>
              </w:rPr>
              <w:t>;</w:t>
            </w:r>
          </w:p>
          <w:p w:rsidR="00F75C59" w:rsidRPr="006114CA" w:rsidRDefault="00F75C59" w:rsidP="00F75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FB5E24">
            <w:pPr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Командна робота та взаємодія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C59" w:rsidRDefault="00FB5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Орієнтація на командний результат;</w:t>
            </w:r>
          </w:p>
          <w:p w:rsidR="00F75C59" w:rsidRPr="00EE62D1" w:rsidRDefault="00FB5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Готовність працювати в команді та сприяти колегам у їх професійній діяльності задля досягнення спільних цілей</w:t>
            </w: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A56946">
        <w:trPr>
          <w:trHeight w:val="342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46" w:rsidRPr="00A56946" w:rsidRDefault="00A56946" w:rsidP="00A56946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A56946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A56946" w:rsidRPr="00A56946" w:rsidRDefault="00A56946" w:rsidP="00A5694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56946">
              <w:rPr>
                <w:bCs/>
                <w:sz w:val="24"/>
                <w:szCs w:val="24"/>
                <w:shd w:val="clear" w:color="auto" w:fill="FFFFFF"/>
              </w:rPr>
              <w:t>Інструкції з діловодства в місцевих та апеляційних судах України, затвердженої наказом Державної судової</w:t>
            </w:r>
            <w:r w:rsidRPr="00A56946">
              <w:rPr>
                <w:bCs/>
                <w:sz w:val="24"/>
                <w:szCs w:val="24"/>
              </w:rPr>
              <w:br/>
            </w:r>
            <w:r w:rsidRPr="00A56946">
              <w:rPr>
                <w:bCs/>
                <w:sz w:val="24"/>
                <w:szCs w:val="24"/>
                <w:shd w:val="clear" w:color="auto" w:fill="FFFFFF"/>
              </w:rPr>
              <w:t>адміністрації України від 20.08.2019  № 814 (зі змінами);</w:t>
            </w:r>
          </w:p>
          <w:p w:rsidR="00A56946" w:rsidRPr="00A56946" w:rsidRDefault="00A56946" w:rsidP="00A56946">
            <w:pPr>
              <w:contextualSpacing/>
              <w:jc w:val="both"/>
              <w:rPr>
                <w:sz w:val="28"/>
                <w:szCs w:val="28"/>
              </w:rPr>
            </w:pPr>
            <w:r w:rsidRPr="00A56946">
              <w:rPr>
                <w:sz w:val="24"/>
                <w:szCs w:val="24"/>
              </w:rPr>
              <w:t>Положення про Службу судової охорони, затвердженого рішенням Вищої ради правосуддя від 04.04.2019 № 1051/0/15-19;</w:t>
            </w:r>
          </w:p>
          <w:p w:rsidR="00A56946" w:rsidRPr="00A56946" w:rsidRDefault="00A56946" w:rsidP="00A56946">
            <w:pPr>
              <w:contextualSpacing/>
              <w:jc w:val="both"/>
              <w:rPr>
                <w:sz w:val="24"/>
                <w:szCs w:val="24"/>
              </w:rPr>
            </w:pPr>
            <w:r w:rsidRPr="00A56946">
              <w:rPr>
                <w:sz w:val="24"/>
                <w:szCs w:val="24"/>
              </w:rPr>
              <w:t>Положення про порядок створення та діяльності служби судових розпорядників, затвердженого наказом Державної судової адміністрації України від 20.07.2017 № 815;</w:t>
            </w:r>
          </w:p>
          <w:p w:rsidR="006114CA" w:rsidRPr="00D3254A" w:rsidRDefault="00A56946" w:rsidP="00A5694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56946">
              <w:rPr>
                <w:sz w:val="24"/>
                <w:szCs w:val="24"/>
              </w:rPr>
              <w:t xml:space="preserve"> Правил пожежної безпеки в Україні, затверджених наказом Міністерства внутрішніх справ України від 30.12.2014 № 1417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93658"/>
    <w:rsid w:val="00124020"/>
    <w:rsid w:val="00155C59"/>
    <w:rsid w:val="00193F2E"/>
    <w:rsid w:val="002D264E"/>
    <w:rsid w:val="00460C10"/>
    <w:rsid w:val="00524EB1"/>
    <w:rsid w:val="005D19BF"/>
    <w:rsid w:val="005E6AAC"/>
    <w:rsid w:val="006114CA"/>
    <w:rsid w:val="006426B6"/>
    <w:rsid w:val="0068355F"/>
    <w:rsid w:val="007815DF"/>
    <w:rsid w:val="00792AEF"/>
    <w:rsid w:val="007B458D"/>
    <w:rsid w:val="007D6842"/>
    <w:rsid w:val="00832CC7"/>
    <w:rsid w:val="00847BEB"/>
    <w:rsid w:val="00875C07"/>
    <w:rsid w:val="008865AB"/>
    <w:rsid w:val="008969AE"/>
    <w:rsid w:val="00941013"/>
    <w:rsid w:val="00945246"/>
    <w:rsid w:val="00A56946"/>
    <w:rsid w:val="00A72A37"/>
    <w:rsid w:val="00AA775C"/>
    <w:rsid w:val="00AB1CC2"/>
    <w:rsid w:val="00C3574F"/>
    <w:rsid w:val="00CE029A"/>
    <w:rsid w:val="00D3254A"/>
    <w:rsid w:val="00D70F0C"/>
    <w:rsid w:val="00DF3B3E"/>
    <w:rsid w:val="00E376B7"/>
    <w:rsid w:val="00E76D78"/>
    <w:rsid w:val="00EE62D1"/>
    <w:rsid w:val="00F63DAF"/>
    <w:rsid w:val="00F75C59"/>
    <w:rsid w:val="00FB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EE5AF-29E1-42E9-8D5B-E4E4A515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4136</Words>
  <Characters>2358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51</cp:revision>
  <cp:lastPrinted>2021-04-09T12:28:00Z</cp:lastPrinted>
  <dcterms:created xsi:type="dcterms:W3CDTF">2021-04-01T11:26:00Z</dcterms:created>
  <dcterms:modified xsi:type="dcterms:W3CDTF">2021-05-11T12:20:00Z</dcterms:modified>
</cp:coreProperties>
</file>