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2" w:type="dxa"/>
        <w:tblInd w:w="5387" w:type="dxa"/>
        <w:tblCellMar>
          <w:left w:w="0" w:type="dxa"/>
          <w:right w:w="0" w:type="dxa"/>
        </w:tblCellMar>
        <w:tblLook w:val="04A0"/>
      </w:tblPr>
      <w:tblGrid>
        <w:gridCol w:w="4252"/>
      </w:tblGrid>
      <w:tr w:rsidR="00E45255" w:rsidRPr="00A7061D" w:rsidTr="00B51E9D">
        <w:tc>
          <w:tcPr>
            <w:tcW w:w="5000" w:type="pct"/>
            <w:shd w:val="clear" w:color="auto" w:fill="auto"/>
            <w:hideMark/>
          </w:tcPr>
          <w:p w:rsidR="00E45255" w:rsidRPr="0012274F" w:rsidRDefault="00E45255" w:rsidP="003C7B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B51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FA6F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З</w:t>
            </w:r>
            <w:r w:rsidR="009B2B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АТВЕРДЖЕНО</w:t>
            </w:r>
            <w:r w:rsidRPr="001227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E45255" w:rsidRPr="00947AFB" w:rsidRDefault="00E45255" w:rsidP="003C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  наказом</w:t>
            </w:r>
            <w:r w:rsidRPr="00947A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947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керівника апарату</w:t>
            </w:r>
          </w:p>
          <w:p w:rsidR="00E45255" w:rsidRPr="00947AFB" w:rsidRDefault="00E45255" w:rsidP="003C7BD5">
            <w:pPr>
              <w:spacing w:after="0" w:line="240" w:lineRule="auto"/>
              <w:ind w:hanging="14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47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="004173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Дзержинського</w:t>
            </w:r>
            <w:r w:rsidRPr="00947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районного </w:t>
            </w:r>
            <w:r w:rsidR="00B51E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947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уду</w:t>
            </w:r>
          </w:p>
          <w:p w:rsidR="00E45255" w:rsidRPr="00947AFB" w:rsidRDefault="00E45255" w:rsidP="003C7BD5">
            <w:pPr>
              <w:spacing w:after="0" w:line="240" w:lineRule="auto"/>
              <w:ind w:hanging="14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47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міста Кривого Рогу</w:t>
            </w:r>
          </w:p>
          <w:p w:rsidR="00E45255" w:rsidRDefault="00E45255" w:rsidP="00E45255">
            <w:pPr>
              <w:spacing w:after="0" w:line="240" w:lineRule="auto"/>
              <w:ind w:hanging="14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Дніпропетровської області</w:t>
            </w:r>
          </w:p>
          <w:p w:rsidR="00E45255" w:rsidRPr="002D5AEF" w:rsidRDefault="00E45255" w:rsidP="003C7BD5">
            <w:pPr>
              <w:spacing w:after="0" w:line="240" w:lineRule="auto"/>
              <w:ind w:hanging="1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2D5A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2D5AEF" w:rsidRPr="002D5A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 листопада</w:t>
            </w:r>
            <w:r w:rsidRPr="002D5A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2020 № </w:t>
            </w:r>
            <w:r w:rsidR="002D5AEF" w:rsidRPr="002D5A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150</w:t>
            </w:r>
            <w:r w:rsidRPr="002D5A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к</w:t>
            </w:r>
          </w:p>
          <w:p w:rsidR="00E45255" w:rsidRPr="00A7061D" w:rsidRDefault="00E45255" w:rsidP="003C7BD5">
            <w:pPr>
              <w:spacing w:after="0" w:line="240" w:lineRule="auto"/>
              <w:ind w:hanging="14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E45255" w:rsidRDefault="00E45255" w:rsidP="00E45255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n195"/>
      <w:bookmarkEnd w:id="0"/>
    </w:p>
    <w:p w:rsidR="00E45255" w:rsidRDefault="00E45255" w:rsidP="00E45255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47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ОГОЛОШЕННЯ</w:t>
      </w:r>
    </w:p>
    <w:p w:rsidR="00806DA2" w:rsidRPr="00947AFB" w:rsidRDefault="00806DA2" w:rsidP="00E45255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E45255" w:rsidRPr="00606E93" w:rsidRDefault="003B407D" w:rsidP="003B407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06DA2">
        <w:rPr>
          <w:rFonts w:ascii="Times New Roman" w:hAnsi="Times New Roman" w:cs="Times New Roman"/>
          <w:b/>
          <w:sz w:val="24"/>
          <w:szCs w:val="24"/>
          <w:lang w:val="uk-UA"/>
        </w:rPr>
        <w:t>про добір з призначення на вакантн</w:t>
      </w:r>
      <w:r w:rsidR="0075023C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806D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875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строкову </w:t>
      </w:r>
      <w:r w:rsidRPr="00806DA2">
        <w:rPr>
          <w:rFonts w:ascii="Times New Roman" w:hAnsi="Times New Roman" w:cs="Times New Roman"/>
          <w:b/>
          <w:sz w:val="24"/>
          <w:szCs w:val="24"/>
          <w:lang w:val="uk-UA"/>
        </w:rPr>
        <w:t>посад</w:t>
      </w:r>
      <w:r w:rsidR="0075023C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806D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державної служби</w:t>
      </w:r>
      <w:r w:rsidRPr="00806DA2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uk-UA"/>
        </w:rPr>
        <w:t xml:space="preserve"> - с</w:t>
      </w:r>
      <w:r w:rsidRPr="00806DA2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uk-UA"/>
        </w:rPr>
        <w:t xml:space="preserve">екретар судового засідання </w:t>
      </w:r>
      <w:r w:rsidRPr="0067688F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uk-UA"/>
        </w:rPr>
        <w:t>Дзержинського районного суду міста Кривого Рогу Дніпропетровської</w:t>
      </w:r>
      <w:r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val="uk-UA"/>
        </w:rPr>
        <w:t xml:space="preserve"> області</w:t>
      </w:r>
      <w:r w:rsidRPr="00806D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період дії карантину </w:t>
      </w:r>
      <w:r w:rsidRPr="00806DA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(за контрактом, укладеним 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коронавірусом SARS-CoV-2, та до дня визначення керівником переможця за результатами конкурсного відбору відповідно до законодавства)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.</w:t>
      </w:r>
      <w:r w:rsidRPr="00806DA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Граничний строк перебування особи на зазначеній посаді державної служби становить не більше двох місяців після відміни карантину, установленого Кабінетом Міністрів України</w:t>
      </w:r>
      <w:r w:rsidR="00606E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,</w:t>
      </w:r>
      <w:r w:rsidR="00787532" w:rsidRPr="0078753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87532" w:rsidRPr="00606E9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але не більше ніж період відпустки основного працівника по догляду за дитиною до досягнення нею трирічного віку</w:t>
      </w:r>
      <w:r w:rsidR="00630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,</w:t>
      </w:r>
      <w:r w:rsidR="006303CD" w:rsidRPr="006303CD">
        <w:rPr>
          <w:sz w:val="27"/>
          <w:szCs w:val="27"/>
          <w:lang w:val="uk-UA"/>
        </w:rPr>
        <w:t xml:space="preserve"> </w:t>
      </w:r>
      <w:r w:rsidR="006303CD" w:rsidRPr="006303CD">
        <w:rPr>
          <w:rFonts w:ascii="Times New Roman" w:hAnsi="Times New Roman" w:cs="Times New Roman"/>
          <w:b/>
          <w:sz w:val="24"/>
          <w:szCs w:val="24"/>
          <w:lang w:val="uk-UA"/>
        </w:rPr>
        <w:t>або до фактичного його виходу</w:t>
      </w:r>
      <w:r w:rsidR="00787532" w:rsidRPr="00606E9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.</w:t>
      </w:r>
      <w:r w:rsidRPr="00606E93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</w:p>
    <w:tbl>
      <w:tblPr>
        <w:tblW w:w="5293" w:type="pct"/>
        <w:tblCellMar>
          <w:left w:w="0" w:type="dxa"/>
          <w:right w:w="0" w:type="dxa"/>
        </w:tblCellMar>
        <w:tblLook w:val="04A0"/>
      </w:tblPr>
      <w:tblGrid>
        <w:gridCol w:w="544"/>
        <w:gridCol w:w="2720"/>
        <w:gridCol w:w="251"/>
        <w:gridCol w:w="6695"/>
      </w:tblGrid>
      <w:tr w:rsidR="00E45255" w:rsidRPr="00947AFB" w:rsidTr="00854BAD">
        <w:trPr>
          <w:trHeight w:val="1017"/>
        </w:trPr>
        <w:tc>
          <w:tcPr>
            <w:tcW w:w="3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n766"/>
            <w:bookmarkEnd w:id="1"/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E7C99" w:rsidRPr="00E501A4" w:rsidRDefault="002E7C99" w:rsidP="002E7C99">
            <w:pPr>
              <w:shd w:val="clear" w:color="auto" w:fill="FFFFFF"/>
              <w:spacing w:after="0" w:line="240" w:lineRule="auto"/>
              <w:ind w:left="450" w:right="450" w:hanging="347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E501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секретар судового засідання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Дзержинського</w:t>
            </w:r>
          </w:p>
          <w:p w:rsidR="00E45255" w:rsidRPr="00E501A4" w:rsidRDefault="002E7C99" w:rsidP="00787532">
            <w:pPr>
              <w:shd w:val="clear" w:color="auto" w:fill="FFFFFF"/>
              <w:spacing w:after="0" w:line="240" w:lineRule="auto"/>
              <w:ind w:left="103" w:right="4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1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районного суду міста Кривого Рогу Дніпропетровської області, посада державної служби </w:t>
            </w:r>
            <w:r w:rsidRPr="00E501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категорії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 xml:space="preserve"> </w:t>
            </w:r>
            <w:r w:rsidRPr="00E501A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«В</w:t>
            </w:r>
            <w:r w:rsidR="0078753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»</w:t>
            </w:r>
          </w:p>
        </w:tc>
      </w:tr>
      <w:tr w:rsidR="00E45255" w:rsidRPr="002D5AEF" w:rsidTr="00854BAD">
        <w:trPr>
          <w:trHeight w:val="1017"/>
        </w:trPr>
        <w:tc>
          <w:tcPr>
            <w:tcW w:w="3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>Здійснює судові виклики та повідомлення в справах, які знаходяться у провадженні судді;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>Перевіряє наявність і з'ясовує причини відсутності осіб, яких викликано до суду, і доповідає про це головуючому судді.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>Здійснює перевірку осіб, які викликані в судове засідання, та зазначає на повістках час перебування в суді. Вручає особам, які беруть участь у судовому розгляді, пам’ятку про їхні права та обов’язки, передбачені КПК України (в редакції 2012 року)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Забезпечує фіксування судового процесу (судового засідання) за допомогою технічних засобів, відповідно до Інструкції про порядок роботи з технічними засобами фіксування судового процесу (судового засідання), Інструкції про порядок роботи з технічними засобами відеозапису ходу і результатів процесуальних дій, проведених у режимі </w:t>
            </w:r>
            <w:proofErr w:type="spellStart"/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>відеоконференції</w:t>
            </w:r>
            <w:proofErr w:type="spellEnd"/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 xml:space="preserve">  під час судового засідання (кримінального провадження). 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 xml:space="preserve"> Веде журнал судового засідання та протокол судового засідання.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 xml:space="preserve">Надсилає для виконання копії ухвал суду до органів внутрішніх </w:t>
            </w: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 xml:space="preserve">справ  про розшук; компетентним органам  про накладення арешту  на майно обвинуваченого та про зміну запобіжного заходу;  невідкладно вручає (направляє) копії ухвал учасникам кримінального провадження про повернення прокурору обвинувального акту, клопотання про застосування примусових заходів медичного або виховного характеру, про закриття кримінального провадження, про відмову в затвердженні угоди,  а також копію вироку, яким затверджено угоду.   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 xml:space="preserve">Своєчасно здійснює внесення достовірної інформації про рух судових справ та кримінальних проваджень, що перебувають у провадженні відповідного судді  і не розглянуті по суті, до АСДС.   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>Виготовляє копії судових рішень у справах, які знаходяться в провадженні судді.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>У разі постановлення ухвали про повернення позовної заяви/заяви; про відмову у відкритті провадження у справі; про відмову у прийнятті,  виготовляє ксерокопію цієї заяви та підшиває її до матеріалів справи.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>Здійснює заходи щодо вручення копії вироку засудженому або виправданому відповідно до вимог Кримінального процесуального кодексу України, за дорученням судді здійснює заходи щодо дачі засудженим підписки в порядку ст.ст. 75, 76 КПК України.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>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 xml:space="preserve"> Готує виконавчі листи у справах, за якими передбачено негайне виконання.</w:t>
            </w:r>
          </w:p>
          <w:p w:rsidR="002E7C99" w:rsidRPr="00376DE5" w:rsidRDefault="002E7C99" w:rsidP="002E7C99">
            <w:pPr>
              <w:tabs>
                <w:tab w:val="left" w:pos="709"/>
                <w:tab w:val="left" w:pos="1701"/>
              </w:tabs>
              <w:spacing w:after="0"/>
              <w:ind w:firstLine="32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>Оформлює матеріали судових справ та матеріалів кримінального провадження, що перебувають у провадженні судді і здійснює передачу справ і проваджень, розглянутих по суті, до канцелярії суду.</w:t>
            </w:r>
          </w:p>
          <w:p w:rsidR="00E45255" w:rsidRPr="00E501A4" w:rsidRDefault="002E7C99" w:rsidP="002E7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DE5">
              <w:rPr>
                <w:rFonts w:ascii="Times New Roman" w:hAnsi="Times New Roman" w:cs="Times New Roman"/>
                <w:sz w:val="24"/>
                <w:lang w:val="uk-UA"/>
              </w:rPr>
              <w:t>Виконує інші доручення судді, керівника апарату суду та обов’язки, які не перелічені в інструкції, але витікають зі змісту нормативних актів, наказів та вказівок, які входять до компетенції  секретаря судового засідання.</w:t>
            </w:r>
          </w:p>
        </w:tc>
      </w:tr>
      <w:tr w:rsidR="00E45255" w:rsidRPr="00947AFB" w:rsidTr="00854BAD">
        <w:tc>
          <w:tcPr>
            <w:tcW w:w="3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50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 Посадовий оклад 4</w:t>
            </w:r>
            <w:r w:rsidR="00787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440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E50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грн., відповідно до постанови КМУ від 24.05.2017 № 358 «Деякі питання оплати праці державних службовців, органів та установ системи правосуддя».</w:t>
            </w:r>
          </w:p>
          <w:p w:rsidR="00E45255" w:rsidRPr="00E501A4" w:rsidRDefault="00E45255" w:rsidP="0078753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 Надбавки, доплати та премії, відповідно до статей 50, 52 Закону України «Про державну службу».</w:t>
            </w:r>
          </w:p>
        </w:tc>
      </w:tr>
      <w:tr w:rsidR="00E45255" w:rsidRPr="00947AFB" w:rsidTr="00854BAD">
        <w:tc>
          <w:tcPr>
            <w:tcW w:w="3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про строковість призначення на посаду</w:t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E44BF" w:rsidRPr="006303CD" w:rsidRDefault="00C72B25" w:rsidP="00C72B25">
            <w:pPr>
              <w:ind w:firstLine="17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72B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</w:t>
            </w:r>
            <w:r w:rsidR="00AE44BF" w:rsidRPr="00C72B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троково</w:t>
            </w:r>
            <w:proofErr w:type="spellEnd"/>
            <w:r w:rsidR="00AE44BF" w:rsidRPr="00C72B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(за контрактом, укладеним на період дії карантину, установленого Кабі</w:t>
            </w:r>
            <w:r w:rsidRPr="00C72B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нетом Міністрів України з метою з</w:t>
            </w:r>
            <w:r w:rsidR="00AE44BF" w:rsidRPr="00C72B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апобігання поширенню на території України гострої респіраторної хвороби COVID-19, спричиненої коронавірусом SARS-CoV-2, та до дня визначення керівником переможця за результатами конкурсного відбор</w:t>
            </w:r>
            <w:r w:rsidR="004F5721" w:rsidRPr="00C72B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у відповідно до законодавства</w:t>
            </w:r>
            <w:r w:rsidR="004F5721" w:rsidRPr="00606E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)</w:t>
            </w:r>
            <w:r w:rsidR="00606E93" w:rsidRPr="00606E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606E93" w:rsidRPr="00606E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06E93" w:rsidRPr="00606E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але не більше ніж період відпустки основного працівника по догляду за дитиною до </w:t>
            </w:r>
            <w:r w:rsidR="00606E93" w:rsidRPr="00606E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досягнення нею трирічного віку</w:t>
            </w:r>
            <w:r w:rsidR="00630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6303CD" w:rsidRPr="00630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до фактичного його виходу</w:t>
            </w:r>
            <w:r w:rsidR="00630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45255" w:rsidRPr="00E501A4" w:rsidRDefault="00AE44BF" w:rsidP="00C72B25">
            <w:pPr>
              <w:spacing w:before="150" w:after="150" w:line="240" w:lineRule="auto"/>
              <w:ind w:firstLine="17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72B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Граничний строк перебування особи на зазначеній посаді державної служби становить не більше двох місяців після відміни карантину, установленого Кабінетом Міністрів України.</w:t>
            </w:r>
          </w:p>
        </w:tc>
      </w:tr>
      <w:tr w:rsidR="00E45255" w:rsidRPr="00947AFB" w:rsidTr="00854BAD">
        <w:tc>
          <w:tcPr>
            <w:tcW w:w="3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Перелік інформації, необхідної для участі у доборі з призначення на вакантну посаду, та строк її подання</w:t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54BAD" w:rsidRDefault="00EB7EFF" w:rsidP="00185918">
            <w:pPr>
              <w:pStyle w:val="a3"/>
              <w:spacing w:before="0"/>
              <w:ind w:firstLine="103"/>
              <w:rPr>
                <w:rFonts w:ascii="Times New Roman" w:hAnsi="Times New Roman"/>
                <w:sz w:val="24"/>
                <w:szCs w:val="24"/>
              </w:rPr>
            </w:pPr>
            <w:r w:rsidRPr="00E501A4">
              <w:rPr>
                <w:rFonts w:ascii="Times New Roman" w:hAnsi="Times New Roman"/>
                <w:sz w:val="24"/>
                <w:szCs w:val="24"/>
              </w:rPr>
              <w:t xml:space="preserve">Особа, яка бажає взяти участь в доборі з призначення на вакантну посаду, подає таку інформацію через Єдиний портал вакансій державної служби:                                                                                                            </w:t>
            </w:r>
            <w:r w:rsidR="00854BA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B7EFF" w:rsidRPr="00E501A4" w:rsidRDefault="00EB7EFF" w:rsidP="00185918">
            <w:pPr>
              <w:pStyle w:val="a3"/>
              <w:spacing w:before="0"/>
              <w:ind w:firstLine="103"/>
              <w:rPr>
                <w:rFonts w:ascii="Times New Roman" w:hAnsi="Times New Roman"/>
                <w:sz w:val="24"/>
                <w:szCs w:val="24"/>
              </w:rPr>
            </w:pPr>
            <w:r w:rsidRPr="00E501A4">
              <w:rPr>
                <w:rFonts w:ascii="Times New Roman" w:hAnsi="Times New Roman"/>
                <w:sz w:val="24"/>
                <w:szCs w:val="24"/>
              </w:rPr>
              <w:t xml:space="preserve">1) заяву із зазначенням основних мотивів щодо зайняття посади державної служби;                                      </w:t>
            </w:r>
          </w:p>
          <w:p w:rsidR="00EB7EFF" w:rsidRPr="00E501A4" w:rsidRDefault="00EB7EFF" w:rsidP="003C7BD5">
            <w:pPr>
              <w:pStyle w:val="a3"/>
              <w:spacing w:before="0"/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1A4">
              <w:rPr>
                <w:rFonts w:ascii="Times New Roman" w:hAnsi="Times New Roman"/>
                <w:sz w:val="24"/>
                <w:szCs w:val="24"/>
              </w:rPr>
              <w:t xml:space="preserve">2) резюме за формою, визначеною Кабінетом Міністрів України;                                                                        </w:t>
            </w:r>
          </w:p>
          <w:p w:rsidR="00EB7EFF" w:rsidRPr="00E501A4" w:rsidRDefault="00EB7EFF" w:rsidP="00854BAD">
            <w:pPr>
              <w:pStyle w:val="a3"/>
              <w:spacing w:before="0"/>
              <w:ind w:firstLine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01A4">
              <w:rPr>
                <w:rFonts w:ascii="Times New Roman" w:hAnsi="Times New Roman"/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854BA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E501A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Додатки до заяви не є обов’язковими для подання.  </w:t>
            </w:r>
            <w:r w:rsidRPr="00E501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</w:t>
            </w:r>
          </w:p>
          <w:p w:rsidR="00F0581C" w:rsidRPr="00E501A4" w:rsidRDefault="00F0581C" w:rsidP="003C7BD5">
            <w:pPr>
              <w:pStyle w:val="a3"/>
              <w:spacing w:before="0"/>
              <w:ind w:firstLine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5255" w:rsidRPr="00E501A4" w:rsidRDefault="00E45255" w:rsidP="003C7BD5">
            <w:pPr>
              <w:pStyle w:val="a3"/>
              <w:spacing w:before="0"/>
              <w:ind w:firstLine="103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</w:pPr>
            <w:r w:rsidRPr="00E501A4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E501A4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компетентностей</w:t>
            </w:r>
            <w:proofErr w:type="spellEnd"/>
            <w:r w:rsidRPr="00E501A4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E45255" w:rsidRPr="00E501A4" w:rsidRDefault="00E45255" w:rsidP="003C7BD5">
            <w:pPr>
              <w:pStyle w:val="a3"/>
              <w:spacing w:before="0"/>
              <w:ind w:firstLine="103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</w:pPr>
          </w:p>
          <w:p w:rsidR="00E45255" w:rsidRPr="00E501A4" w:rsidRDefault="00185918" w:rsidP="003C7BD5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E45255" w:rsidRPr="00E501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 електронні документи, що подаються для участі у добрі, накладається кваліфікований електронний підпис особи, яка бажає взяти участь у доборі.</w:t>
            </w:r>
            <w:r w:rsidR="00E45255" w:rsidRPr="00E501A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45255" w:rsidRPr="00E501A4" w:rsidRDefault="00E45255" w:rsidP="003C7BD5">
            <w:pPr>
              <w:pStyle w:val="rvps2"/>
              <w:tabs>
                <w:tab w:val="left" w:pos="10436"/>
              </w:tabs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E45255" w:rsidRPr="00E501A4" w:rsidRDefault="00E45255" w:rsidP="007875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501A4">
              <w:rPr>
                <w:b/>
                <w:sz w:val="24"/>
                <w:szCs w:val="24"/>
                <w:lang w:val="uk-UA"/>
              </w:rPr>
              <w:t xml:space="preserve">    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>нформація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gramStart"/>
            <w:r w:rsidRPr="00E50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доборі</w:t>
            </w:r>
            <w:r w:rsidRPr="00E501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>подається</w:t>
            </w:r>
            <w:proofErr w:type="spellEnd"/>
            <w:proofErr w:type="gramEnd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 xml:space="preserve">  через </w:t>
            </w:r>
            <w:proofErr w:type="spellStart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>вакансій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>: https://www.career.gov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E5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501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6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E501A4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67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хв. </w:t>
            </w:r>
            <w:r w:rsidR="00787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листопада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 року.</w:t>
            </w:r>
          </w:p>
        </w:tc>
      </w:tr>
      <w:tr w:rsidR="00E45255" w:rsidRPr="00787532" w:rsidTr="00854BAD">
        <w:tc>
          <w:tcPr>
            <w:tcW w:w="3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</w:tc>
        <w:tc>
          <w:tcPr>
            <w:tcW w:w="6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787532" w:rsidP="003C7BD5">
            <w:pPr>
              <w:spacing w:before="150" w:after="15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Мала Вікторія Петрівна</w:t>
            </w:r>
          </w:p>
          <w:p w:rsidR="00E45255" w:rsidRPr="00787532" w:rsidRDefault="00E45255" w:rsidP="0078753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+38(098)</w:t>
            </w:r>
            <w:r w:rsidR="00752C5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r w:rsidR="0078753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307</w:t>
            </w:r>
            <w:r w:rsidR="00217E1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r w:rsidR="0078753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64</w:t>
            </w:r>
            <w:r w:rsidR="00217E1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r w:rsidR="0078753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03</w:t>
            </w:r>
            <w:r w:rsidRPr="00E501A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501A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inbox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@</w:t>
            </w:r>
            <w:proofErr w:type="spellStart"/>
            <w:r w:rsidR="0032672B" w:rsidRPr="0032672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dg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.d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.court.gov.</w:t>
            </w:r>
            <w:proofErr w:type="spellStart"/>
            <w:r w:rsidR="00B4164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</w:p>
        </w:tc>
      </w:tr>
      <w:tr w:rsidR="00E45255" w:rsidRPr="00947AFB" w:rsidTr="00854BAD">
        <w:tc>
          <w:tcPr>
            <w:tcW w:w="10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9C192B" w:rsidP="003C7B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Кваліфікаційні в</w:t>
            </w:r>
            <w:r w:rsidR="00E45255"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имоги</w:t>
            </w:r>
          </w:p>
        </w:tc>
      </w:tr>
      <w:tr w:rsidR="00E45255" w:rsidRPr="00947AFB" w:rsidTr="00854BAD"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Вища освіта не нижче ступеня молодшого бакалавра або бакалавра за спеціальністю "Право"</w:t>
            </w:r>
          </w:p>
        </w:tc>
      </w:tr>
      <w:tr w:rsidR="00E45255" w:rsidRPr="00947AFB" w:rsidTr="00854BAD"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</w:t>
            </w:r>
          </w:p>
        </w:tc>
      </w:tr>
      <w:tr w:rsidR="00E45255" w:rsidRPr="00947AFB" w:rsidTr="00854BAD">
        <w:trPr>
          <w:trHeight w:val="690"/>
        </w:trPr>
        <w:tc>
          <w:tcPr>
            <w:tcW w:w="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45255" w:rsidRPr="00E501A4" w:rsidRDefault="00E45255" w:rsidP="003C7B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володіння державною мовою</w:t>
            </w:r>
          </w:p>
        </w:tc>
      </w:tr>
    </w:tbl>
    <w:p w:rsidR="000058F3" w:rsidRDefault="000058F3">
      <w:pPr>
        <w:rPr>
          <w:lang w:val="uk-UA"/>
        </w:rPr>
      </w:pPr>
      <w:bookmarkStart w:id="3" w:name="n767"/>
      <w:bookmarkEnd w:id="3"/>
    </w:p>
    <w:p w:rsidR="000402EA" w:rsidRPr="00D511A0" w:rsidRDefault="000402EA">
      <w:pPr>
        <w:rPr>
          <w:lang w:val="uk-UA"/>
        </w:rPr>
      </w:pPr>
    </w:p>
    <w:sectPr w:rsidR="000402EA" w:rsidRPr="00D511A0" w:rsidSect="000058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5255"/>
    <w:rsid w:val="000058F3"/>
    <w:rsid w:val="00017618"/>
    <w:rsid w:val="000402EA"/>
    <w:rsid w:val="000C0E70"/>
    <w:rsid w:val="00185918"/>
    <w:rsid w:val="001B29C4"/>
    <w:rsid w:val="001F059A"/>
    <w:rsid w:val="00210F66"/>
    <w:rsid w:val="00217E17"/>
    <w:rsid w:val="00297156"/>
    <w:rsid w:val="002D5AEF"/>
    <w:rsid w:val="002D68F2"/>
    <w:rsid w:val="002E7C99"/>
    <w:rsid w:val="0032672B"/>
    <w:rsid w:val="003B407D"/>
    <w:rsid w:val="00417360"/>
    <w:rsid w:val="004A4AE9"/>
    <w:rsid w:val="004F5721"/>
    <w:rsid w:val="005575C1"/>
    <w:rsid w:val="005F37A3"/>
    <w:rsid w:val="00606E93"/>
    <w:rsid w:val="006303CD"/>
    <w:rsid w:val="00655C94"/>
    <w:rsid w:val="006756F9"/>
    <w:rsid w:val="0067688F"/>
    <w:rsid w:val="0075023C"/>
    <w:rsid w:val="00752C54"/>
    <w:rsid w:val="00787532"/>
    <w:rsid w:val="007D4DD3"/>
    <w:rsid w:val="00806DA2"/>
    <w:rsid w:val="00854BAD"/>
    <w:rsid w:val="00863791"/>
    <w:rsid w:val="008F5141"/>
    <w:rsid w:val="009B2B19"/>
    <w:rsid w:val="009C192B"/>
    <w:rsid w:val="009F450A"/>
    <w:rsid w:val="00AC7726"/>
    <w:rsid w:val="00AE44BF"/>
    <w:rsid w:val="00B25CC8"/>
    <w:rsid w:val="00B4164C"/>
    <w:rsid w:val="00B51E9D"/>
    <w:rsid w:val="00B83F47"/>
    <w:rsid w:val="00BA3A43"/>
    <w:rsid w:val="00C72B25"/>
    <w:rsid w:val="00D511A0"/>
    <w:rsid w:val="00E24EF1"/>
    <w:rsid w:val="00E45255"/>
    <w:rsid w:val="00E501A4"/>
    <w:rsid w:val="00E84676"/>
    <w:rsid w:val="00EB7EFF"/>
    <w:rsid w:val="00EE4954"/>
    <w:rsid w:val="00EE4EDE"/>
    <w:rsid w:val="00F0581C"/>
    <w:rsid w:val="00F15FB3"/>
    <w:rsid w:val="00FA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55"/>
    <w:rPr>
      <w:lang w:val="ru-RU"/>
    </w:rPr>
  </w:style>
  <w:style w:type="paragraph" w:styleId="3">
    <w:name w:val="heading 3"/>
    <w:basedOn w:val="a"/>
    <w:link w:val="30"/>
    <w:qFormat/>
    <w:rsid w:val="00E452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525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rvps2">
    <w:name w:val="rvps2"/>
    <w:basedOn w:val="a"/>
    <w:uiPriority w:val="99"/>
    <w:rsid w:val="00E4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ий текст"/>
    <w:basedOn w:val="a"/>
    <w:rsid w:val="00E4525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12">
    <w:name w:val="rvps12"/>
    <w:basedOn w:val="a"/>
    <w:uiPriority w:val="99"/>
    <w:rsid w:val="00E4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E4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ableContents">
    <w:name w:val="Table Contents"/>
    <w:basedOn w:val="a"/>
    <w:rsid w:val="00E4525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uk-UA" w:eastAsia="hi-IN" w:bidi="hi-IN"/>
    </w:rPr>
  </w:style>
  <w:style w:type="character" w:customStyle="1" w:styleId="rvts0">
    <w:name w:val="rvts0"/>
    <w:basedOn w:val="a0"/>
    <w:rsid w:val="00E45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Суд4</dc:creator>
  <cp:lastModifiedBy>User</cp:lastModifiedBy>
  <cp:revision>5</cp:revision>
  <cp:lastPrinted>2020-11-24T09:18:00Z</cp:lastPrinted>
  <dcterms:created xsi:type="dcterms:W3CDTF">2020-11-23T13:55:00Z</dcterms:created>
  <dcterms:modified xsi:type="dcterms:W3CDTF">2020-11-24T09:44:00Z</dcterms:modified>
</cp:coreProperties>
</file>