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5F" w:rsidRPr="00832D4B" w:rsidRDefault="0047605F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>Додаток 1</w:t>
      </w:r>
    </w:p>
    <w:p w:rsidR="0047605F" w:rsidRPr="00832D4B" w:rsidRDefault="0047605F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>до наказу Новомиргородського районного</w:t>
      </w:r>
    </w:p>
    <w:p w:rsidR="0047605F" w:rsidRPr="00832D4B" w:rsidRDefault="0047605F" w:rsidP="0047605F">
      <w:pPr>
        <w:ind w:left="424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 xml:space="preserve">суду Кіровоградської області від </w:t>
      </w:r>
      <w:r w:rsidR="008C433E">
        <w:rPr>
          <w:sz w:val="18"/>
          <w:szCs w:val="18"/>
        </w:rPr>
        <w:t>13.09</w:t>
      </w:r>
      <w:r w:rsidR="009320C6">
        <w:rPr>
          <w:sz w:val="18"/>
          <w:szCs w:val="18"/>
        </w:rPr>
        <w:t>.2021</w:t>
      </w:r>
      <w:r w:rsidRPr="00832D4B">
        <w:rPr>
          <w:rFonts w:eastAsia="Times New Roman"/>
          <w:sz w:val="18"/>
          <w:szCs w:val="18"/>
        </w:rPr>
        <w:t xml:space="preserve"> року № </w:t>
      </w:r>
      <w:r w:rsidR="008C433E">
        <w:rPr>
          <w:rFonts w:eastAsia="Times New Roman"/>
          <w:sz w:val="18"/>
          <w:szCs w:val="18"/>
        </w:rPr>
        <w:t>21</w:t>
      </w:r>
    </w:p>
    <w:p w:rsidR="0047605F" w:rsidRPr="00832D4B" w:rsidRDefault="0047605F" w:rsidP="0047605F">
      <w:pPr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 xml:space="preserve"> </w:t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  <w:t xml:space="preserve">«Про оголошення конкурсу на </w:t>
      </w:r>
      <w:r w:rsidR="009320C6">
        <w:rPr>
          <w:rFonts w:eastAsia="Times New Roman"/>
          <w:sz w:val="18"/>
          <w:szCs w:val="18"/>
        </w:rPr>
        <w:t>зайняття</w:t>
      </w:r>
      <w:r w:rsidRPr="00832D4B">
        <w:rPr>
          <w:rFonts w:eastAsia="Times New Roman"/>
          <w:sz w:val="18"/>
          <w:szCs w:val="18"/>
        </w:rPr>
        <w:t xml:space="preserve"> </w:t>
      </w:r>
    </w:p>
    <w:p w:rsidR="0047605F" w:rsidRPr="00832D4B" w:rsidRDefault="009320C6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</w:t>
      </w:r>
      <w:r w:rsidR="0047605F" w:rsidRPr="00832D4B">
        <w:rPr>
          <w:rFonts w:eastAsia="Times New Roman"/>
          <w:sz w:val="18"/>
          <w:szCs w:val="18"/>
        </w:rPr>
        <w:t>акантн</w:t>
      </w:r>
      <w:r>
        <w:rPr>
          <w:rFonts w:eastAsia="Times New Roman"/>
          <w:sz w:val="18"/>
          <w:szCs w:val="18"/>
        </w:rPr>
        <w:t>их посад державної служби категорії «В</w:t>
      </w:r>
      <w:r w:rsidR="0047605F" w:rsidRPr="00832D4B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>»</w:t>
      </w:r>
      <w:r w:rsidR="0047605F" w:rsidRPr="00832D4B">
        <w:rPr>
          <w:rFonts w:eastAsia="Times New Roman"/>
          <w:sz w:val="18"/>
          <w:szCs w:val="18"/>
        </w:rPr>
        <w:t>.</w:t>
      </w:r>
    </w:p>
    <w:p w:rsidR="0047605F" w:rsidRDefault="0047605F" w:rsidP="0047605F"/>
    <w:p w:rsidR="0047605F" w:rsidRPr="0047605F" w:rsidRDefault="0047605F" w:rsidP="0047605F">
      <w:pPr>
        <w:jc w:val="center"/>
        <w:rPr>
          <w:rFonts w:eastAsia="Times New Roman"/>
          <w:b/>
        </w:rPr>
      </w:pPr>
      <w:r w:rsidRPr="0047605F">
        <w:rPr>
          <w:b/>
        </w:rPr>
        <w:t>Умови проведення конкурсу</w:t>
      </w:r>
    </w:p>
    <w:p w:rsidR="00E234F7" w:rsidRPr="00F11591" w:rsidRDefault="0047605F" w:rsidP="0047605F">
      <w:pPr>
        <w:pStyle w:val="3"/>
        <w:spacing w:before="120" w:after="0"/>
        <w:jc w:val="center"/>
        <w:rPr>
          <w:b w:val="0"/>
        </w:rPr>
      </w:pPr>
      <w:r w:rsidRPr="00832D4B">
        <w:rPr>
          <w:rStyle w:val="rvts15"/>
          <w:rFonts w:eastAsia="Times New Roman"/>
          <w:b w:val="0"/>
          <w:sz w:val="24"/>
          <w:szCs w:val="24"/>
        </w:rPr>
        <w:t>на зайняття вакантної пос</w:t>
      </w:r>
      <w:r w:rsidR="008C5E39">
        <w:rPr>
          <w:rStyle w:val="rvts15"/>
          <w:rFonts w:eastAsia="Times New Roman"/>
          <w:b w:val="0"/>
          <w:sz w:val="24"/>
          <w:szCs w:val="24"/>
        </w:rPr>
        <w:t>ади державної служби категорії «В»</w:t>
      </w:r>
      <w:r w:rsidRPr="00832D4B">
        <w:rPr>
          <w:rStyle w:val="rvts15"/>
          <w:rFonts w:eastAsia="Times New Roman"/>
          <w:b w:val="0"/>
          <w:sz w:val="24"/>
          <w:szCs w:val="24"/>
        </w:rPr>
        <w:t xml:space="preserve">- секретаря </w:t>
      </w:r>
      <w:r>
        <w:rPr>
          <w:rStyle w:val="rvts15"/>
          <w:rFonts w:eastAsia="Times New Roman"/>
          <w:b w:val="0"/>
          <w:sz w:val="24"/>
          <w:szCs w:val="24"/>
        </w:rPr>
        <w:t xml:space="preserve">судового засідання </w:t>
      </w:r>
      <w:r w:rsidRPr="00832D4B">
        <w:rPr>
          <w:rStyle w:val="rvts15"/>
          <w:rFonts w:eastAsia="Times New Roman"/>
          <w:b w:val="0"/>
          <w:sz w:val="24"/>
          <w:szCs w:val="24"/>
        </w:rPr>
        <w:t>Новомиргородського районного суду Кіровоградської області</w:t>
      </w:r>
    </w:p>
    <w:p w:rsidR="00E234F7" w:rsidRPr="008C433E" w:rsidRDefault="008C433E" w:rsidP="008C433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9597C">
        <w:rPr>
          <w:rFonts w:ascii="Times New Roman" w:hAnsi="Times New Roman"/>
          <w:sz w:val="24"/>
          <w:szCs w:val="24"/>
        </w:rPr>
        <w:t>(</w:t>
      </w:r>
      <w:r w:rsidRPr="004A2CA8">
        <w:rPr>
          <w:rFonts w:ascii="Times New Roman" w:hAnsi="Times New Roman"/>
          <w:b/>
          <w:sz w:val="24"/>
          <w:szCs w:val="24"/>
        </w:rPr>
        <w:t>тимчасово не зайнята посада</w:t>
      </w:r>
      <w:r w:rsidRPr="0049597C">
        <w:rPr>
          <w:rFonts w:ascii="Times New Roman" w:hAnsi="Times New Roman"/>
          <w:sz w:val="24"/>
          <w:szCs w:val="24"/>
        </w:rPr>
        <w:t xml:space="preserve"> </w:t>
      </w:r>
      <w:r w:rsidRPr="00E56CDB">
        <w:rPr>
          <w:rFonts w:ascii="Times New Roman" w:hAnsi="Times New Roman"/>
          <w:b/>
          <w:sz w:val="24"/>
          <w:szCs w:val="24"/>
        </w:rPr>
        <w:t xml:space="preserve">(за строковим трудовим договором) </w:t>
      </w:r>
      <w:r w:rsidRPr="0049597C">
        <w:rPr>
          <w:rFonts w:ascii="Times New Roman" w:hAnsi="Times New Roman"/>
          <w:sz w:val="24"/>
          <w:szCs w:val="24"/>
        </w:rPr>
        <w:t>на період відсутності державного службовця, за яким відповідно до Закону України «Про державну службу» зберігається посада державної служби)</w:t>
      </w: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"/>
        <w:gridCol w:w="1930"/>
        <w:gridCol w:w="2840"/>
        <w:gridCol w:w="4915"/>
      </w:tblGrid>
      <w:tr w:rsidR="00E234F7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E234F7" w:rsidRPr="002E3A28" w:rsidRDefault="00AA6AEE">
            <w:pPr>
              <w:pStyle w:val="a5"/>
              <w:spacing w:line="276" w:lineRule="auto"/>
              <w:jc w:val="center"/>
              <w:rPr>
                <w:b/>
                <w:lang w:eastAsia="en-US"/>
              </w:rPr>
            </w:pPr>
            <w:r w:rsidRPr="002E3A28">
              <w:rPr>
                <w:b/>
                <w:lang w:eastAsia="en-US"/>
              </w:rPr>
              <w:t>Загальні умови</w:t>
            </w:r>
          </w:p>
        </w:tc>
      </w:tr>
      <w:tr w:rsidR="005C6DF2" w:rsidRPr="002E3A28" w:rsidTr="001E09F5">
        <w:trPr>
          <w:trHeight w:val="7431"/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 w:rsidP="00F11591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Посадові обов'язки</w:t>
            </w:r>
          </w:p>
        </w:tc>
        <w:tc>
          <w:tcPr>
            <w:tcW w:w="3752" w:type="pct"/>
            <w:gridSpan w:val="2"/>
            <w:hideMark/>
          </w:tcPr>
          <w:p w:rsidR="0047605F" w:rsidRDefault="0047605F" w:rsidP="0047605F">
            <w:pPr>
              <w:pStyle w:val="a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4C130F">
              <w:rPr>
                <w:rFonts w:eastAsia="Times New Roman"/>
              </w:rPr>
              <w:t xml:space="preserve">1. 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2.Здійснює оформлення та розміщення на інформаційному стенді суду списків справ, які призначені до розгляду.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4C130F">
              <w:rPr>
                <w:rFonts w:eastAsia="Times New Roman"/>
              </w:rPr>
              <w:t xml:space="preserve">3. Перевіряє наявність і з’ясовує причини відсутності осіб, яких викликано до суду, і доповідає про судді.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4. 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5. Веде протокол судового засідання.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7.Заповнює в електронному вигляді обл</w:t>
            </w:r>
            <w:r w:rsidR="0049226E">
              <w:rPr>
                <w:rFonts w:eastAsia="Times New Roman"/>
              </w:rPr>
              <w:t>іково-</w:t>
            </w:r>
            <w:r>
              <w:rPr>
                <w:rFonts w:eastAsia="Times New Roman"/>
              </w:rPr>
              <w:t xml:space="preserve">статистичну картку про хід розгляду справи.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8.Виготовляє копії судових рішень у справах на підставі наявних в автоматизованій системі документообігу суду даних.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9.Здійснює заходи щодо вручення копії вироку засудженому або виправданому відповідно до вимог Кримінально-процесуального кодексу України.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10.Готує виконавчі листи у справах, за якими передбачено негайне виконання.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11.Здійснює передачу справ, за якими винесено рішення, вирок, постанова, до канцелярії суду (в електронному вигляді).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12.Здійснює передачу справ від одного судді до іншого через канцелярію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13.Здійснює передачу справ до канцелярії суду у разі призначення експертного дослідження.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14.Виконує інші доручення судді, керівника апарату суду, помічника судді, що стосуються організації розгляду судових справ.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15.Вносить до бази даних автоматизованої системи документообігу суду передбачену Положенням інформацію.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16.За дорученням судді, керівника апарату суду надає фізичним та юридичним особам інформацію про стан розгляду справ, в яких вони є учасниками процесу.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</w:t>
            </w:r>
            <w:r>
              <w:rPr>
                <w:rFonts w:eastAsia="Times New Roman"/>
              </w:rPr>
              <w:lastRenderedPageBreak/>
              <w:t xml:space="preserve">до іншої.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4C130F">
              <w:rPr>
                <w:rFonts w:eastAsia="Times New Roman"/>
              </w:rPr>
              <w:t xml:space="preserve">18.Здійснює в автоматизованій системі документообігу суду реєстрацію процесуальних дій та документів у справі, що перебувають у провадженні судді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4C130F">
              <w:rPr>
                <w:rFonts w:eastAsia="Times New Roman"/>
              </w:rPr>
              <w:t xml:space="preserve">19.Здійснює оперативний пошук справ та документів, що перебувають в провадженні судді за їх реквізитами.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20.Вносить до бази даних автоматизованої системи документообігу суду достовірну інформацію.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21.Редагує інформацію в автоматизованій 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22.Виконує вимоги Положення про автоматизовану систему документообігу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23.Забезпечує конфіденційність інформації, яка міститься в автоматизованій системі документообігу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24.Здійснює інформаційний обмін між користувачами автоматизованої системи документообігу суду на основі без паперового документообігу.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25.Користується підсистемою електронного довідника для забезпечення оперативного надання інформації. 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27.Отримує судові справи після автоматичного розподілу.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4C130F">
              <w:rPr>
                <w:rFonts w:eastAsia="Times New Roman"/>
              </w:rPr>
              <w:t>28.</w:t>
            </w:r>
            <w:r>
              <w:t>Виготовл</w:t>
            </w:r>
            <w:r w:rsidR="009320C6">
              <w:t>яє</w:t>
            </w:r>
            <w:r w:rsidR="009320C6">
              <w:rPr>
                <w:rFonts w:eastAsia="Times New Roman"/>
              </w:rPr>
              <w:t xml:space="preserve"> архівні </w:t>
            </w:r>
            <w:r w:rsidRPr="00BA5B68">
              <w:rPr>
                <w:rFonts w:eastAsia="Times New Roman"/>
              </w:rPr>
              <w:t xml:space="preserve"> та робоч</w:t>
            </w:r>
            <w:r w:rsidR="009320C6">
              <w:t>і</w:t>
            </w:r>
            <w:r w:rsidRPr="00BA5B68">
              <w:rPr>
                <w:rFonts w:eastAsia="Times New Roman"/>
              </w:rPr>
              <w:t xml:space="preserve"> копі</w:t>
            </w:r>
            <w:r w:rsidR="009320C6">
              <w:t>ї</w:t>
            </w:r>
            <w:r>
              <w:t xml:space="preserve"> фонограм</w:t>
            </w:r>
            <w:r w:rsidRPr="00BA5B68">
              <w:rPr>
                <w:rFonts w:eastAsia="Times New Roman"/>
              </w:rPr>
              <w:t xml:space="preserve"> </w:t>
            </w:r>
            <w:r>
              <w:t>звукозапису</w:t>
            </w:r>
            <w:r w:rsidRPr="00BA5B68">
              <w:rPr>
                <w:rFonts w:eastAsia="Times New Roman"/>
              </w:rPr>
              <w:t xml:space="preserve"> судового засідання. </w:t>
            </w:r>
          </w:p>
          <w:p w:rsidR="005C6DF2" w:rsidRPr="0047605F" w:rsidRDefault="0047605F" w:rsidP="009320C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76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320C6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 w:rsidRPr="00476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здійснення фіксації ходу і результатів процесуальних дій, проведених у режимі відео конференції.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lastRenderedPageBreak/>
              <w:t>Умови оплати праці</w:t>
            </w:r>
          </w:p>
        </w:tc>
        <w:tc>
          <w:tcPr>
            <w:tcW w:w="3752" w:type="pct"/>
            <w:gridSpan w:val="2"/>
            <w:hideMark/>
          </w:tcPr>
          <w:p w:rsidR="0047605F" w:rsidRPr="00832D4B" w:rsidRDefault="0047605F" w:rsidP="0047605F">
            <w:pPr>
              <w:pStyle w:val="a9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2D4B">
              <w:rPr>
                <w:rFonts w:ascii="Times New Roman" w:hAnsi="Times New Roman"/>
                <w:sz w:val="24"/>
                <w:szCs w:val="24"/>
              </w:rPr>
              <w:t xml:space="preserve">посадовий оклад – </w:t>
            </w:r>
            <w:r w:rsidR="00EA5CE3">
              <w:rPr>
                <w:rFonts w:ascii="Times New Roman" w:hAnsi="Times New Roman"/>
                <w:sz w:val="24"/>
                <w:szCs w:val="24"/>
              </w:rPr>
              <w:t>4440</w:t>
            </w:r>
            <w:r w:rsidRPr="0047605F">
              <w:rPr>
                <w:rFonts w:ascii="Times New Roman" w:hAnsi="Times New Roman"/>
                <w:sz w:val="24"/>
                <w:szCs w:val="24"/>
              </w:rPr>
              <w:t xml:space="preserve"> грн.,</w:t>
            </w:r>
            <w:r w:rsidRPr="0083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DF2" w:rsidRPr="002E3A28" w:rsidRDefault="008C433E" w:rsidP="0047605F">
            <w:pPr>
              <w:spacing w:line="276" w:lineRule="auto"/>
              <w:jc w:val="both"/>
              <w:rPr>
                <w:lang w:eastAsia="en-US"/>
              </w:rPr>
            </w:pPr>
            <w:r w:rsidRPr="00E56CDB">
              <w:rPr>
                <w:szCs w:val="26"/>
              </w:rPr>
              <w:t xml:space="preserve">- </w:t>
            </w:r>
            <w:r w:rsidRPr="008C433E">
              <w:rPr>
                <w:rFonts w:eastAsia="Times New Roman"/>
                <w:lang w:eastAsia="ru-RU"/>
              </w:rPr>
              <w:t>надбавки, доплати та премії відповідно до статей 50, 52 Закону України "Про державну службу".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8C433E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 w:rsidRPr="00E56CDB">
              <w:rPr>
                <w:rFonts w:eastAsia="Times New Roman"/>
                <w:sz w:val="26"/>
                <w:szCs w:val="26"/>
              </w:rPr>
              <w:t>Строкове призначення</w:t>
            </w:r>
          </w:p>
        </w:tc>
      </w:tr>
      <w:tr w:rsidR="005C6DF2" w:rsidRPr="002E3A28" w:rsidTr="001E2836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 w:rsidP="001E2836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3752" w:type="pct"/>
            <w:gridSpan w:val="2"/>
            <w:hideMark/>
          </w:tcPr>
          <w:p w:rsidR="00A11A21" w:rsidRPr="008331F3" w:rsidRDefault="005C6DF2" w:rsidP="00A11A21">
            <w:pPr>
              <w:jc w:val="both"/>
            </w:pPr>
            <w:r w:rsidRPr="002E3A28">
              <w:rPr>
                <w:lang w:eastAsia="en-US"/>
              </w:rPr>
              <w:t> </w:t>
            </w:r>
            <w:r w:rsidR="00A11A21" w:rsidRPr="008331F3">
              <w:t>Особа, яка бажає взяти участь у конкурсі, подає конкурсній комісії через Єдиний портал вакансій державної служби:</w:t>
            </w:r>
          </w:p>
          <w:p w:rsidR="00A11A21" w:rsidRPr="008331F3" w:rsidRDefault="00A11A21" w:rsidP="00A11A21">
            <w:pPr>
              <w:numPr>
                <w:ilvl w:val="0"/>
                <w:numId w:val="6"/>
              </w:numPr>
              <w:tabs>
                <w:tab w:val="left" w:pos="311"/>
              </w:tabs>
              <w:ind w:left="0" w:firstLine="0"/>
              <w:jc w:val="both"/>
            </w:pPr>
            <w:r w:rsidRPr="008331F3">
              <w:rPr>
                <w:shd w:val="clear" w:color="auto" w:fill="FFFFFF"/>
              </w:rPr>
              <w:t>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8331F3">
                <w:rPr>
                  <w:rStyle w:val="a3"/>
                  <w:shd w:val="clear" w:color="auto" w:fill="FFFFFF"/>
                </w:rPr>
                <w:t>додатком 2</w:t>
              </w:r>
            </w:hyperlink>
            <w:r w:rsidRPr="008331F3">
              <w:rPr>
                <w:shd w:val="clear" w:color="auto" w:fill="FFFFFF"/>
              </w:rPr>
              <w:t xml:space="preserve"> Порядку </w:t>
            </w:r>
            <w:r w:rsidRPr="008331F3">
              <w:t xml:space="preserve">проведення конкурсу на зайняття посад державної служби, затвердженого постановою Кабінету Міністрів України від 25.03.2016 р. № 246 </w:t>
            </w:r>
            <w:r w:rsidRPr="008331F3">
              <w:rPr>
                <w:rStyle w:val="rvts9"/>
                <w:bCs/>
                <w:shd w:val="clear" w:color="auto" w:fill="FFFFFF"/>
              </w:rPr>
              <w:t>(зі змінами);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6"/>
              </w:numPr>
              <w:shd w:val="clear" w:color="auto" w:fill="FFFFFF"/>
              <w:tabs>
                <w:tab w:val="left" w:pos="338"/>
              </w:tabs>
              <w:spacing w:before="0" w:beforeAutospacing="0" w:after="0" w:afterAutospacing="0"/>
              <w:ind w:left="-3" w:firstLine="0"/>
              <w:jc w:val="both"/>
            </w:pPr>
            <w:r w:rsidRPr="008331F3">
              <w:t>резюме за формою згідно з </w:t>
            </w:r>
            <w:hyperlink r:id="rId7" w:anchor="n1039" w:history="1">
              <w:r w:rsidRPr="008331F3">
                <w:rPr>
                  <w:rStyle w:val="a3"/>
                  <w:rFonts w:eastAsiaTheme="minorEastAsia"/>
                </w:rPr>
                <w:t>додатком 2</w:t>
              </w:r>
            </w:hyperlink>
            <w:hyperlink r:id="rId8" w:anchor="n1039" w:history="1">
              <w:r w:rsidRPr="008331F3">
                <w:rPr>
                  <w:rStyle w:val="a3"/>
                  <w:rFonts w:eastAsiaTheme="minorEastAsia"/>
                  <w:vertAlign w:val="superscript"/>
                </w:rPr>
                <w:t>-1</w:t>
              </w:r>
            </w:hyperlink>
            <w:r w:rsidRPr="008331F3">
              <w:t>, в якому обов’язково зазначається така інформація: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0" w:name="n1172"/>
            <w:bookmarkEnd w:id="0"/>
            <w:r w:rsidRPr="008331F3">
              <w:t>прізвище, ім’я, по батькові кандидата;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1" w:name="n1173"/>
            <w:bookmarkEnd w:id="1"/>
            <w:r w:rsidRPr="008331F3">
              <w:t>реквізити документа, що посвідчує особу та підтверджує громадянство України;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2" w:name="n1174"/>
            <w:bookmarkEnd w:id="2"/>
            <w:r w:rsidRPr="008331F3">
              <w:t>підтвердження наявності відповідного ступеня вищої освіти;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3" w:name="n1175"/>
            <w:bookmarkEnd w:id="3"/>
            <w:r w:rsidRPr="008331F3">
              <w:t>підтвердження рівня вільного володіння державною мовою;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4" w:name="n1176"/>
            <w:bookmarkEnd w:id="4"/>
            <w:r w:rsidRPr="008331F3">
              <w:t xml:space="preserve"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</w:t>
            </w:r>
            <w:r w:rsidRPr="008331F3">
              <w:lastRenderedPageBreak/>
              <w:t>вимог);</w:t>
            </w:r>
          </w:p>
          <w:p w:rsidR="00A11A21" w:rsidRDefault="00A11A21" w:rsidP="00A11A21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</w:pPr>
            <w:r w:rsidRPr="008331F3">
              <w:t xml:space="preserve">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</w:t>
            </w:r>
            <w:r w:rsidR="008C433E">
              <w:t>ідповідно до зазначеного Закону;</w:t>
            </w:r>
          </w:p>
          <w:p w:rsidR="008C433E" w:rsidRPr="008C433E" w:rsidRDefault="008C433E" w:rsidP="008C433E">
            <w:pPr>
              <w:ind w:right="99"/>
              <w:jc w:val="both"/>
            </w:pPr>
            <w:r w:rsidRPr="008C433E">
              <w:t>4)копію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A11A21" w:rsidRPr="008331F3" w:rsidRDefault="00A11A21" w:rsidP="00A11A21">
            <w:pPr>
              <w:tabs>
                <w:tab w:val="left" w:pos="460"/>
              </w:tabs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8331F3">
              <w:rPr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8331F3">
              <w:rPr>
                <w:shd w:val="clear" w:color="auto" w:fill="FFFFFF"/>
              </w:rPr>
              <w:t>компетентностей</w:t>
            </w:r>
            <w:proofErr w:type="spellEnd"/>
            <w:r w:rsidRPr="008331F3">
              <w:rPr>
                <w:shd w:val="clear" w:color="auto" w:fill="FFFFFF"/>
              </w:rPr>
              <w:t>, репутації (характеристики, рекомендації, наукові публікації тощо</w:t>
            </w:r>
            <w:r>
              <w:rPr>
                <w:shd w:val="clear" w:color="auto" w:fill="FFFFFF"/>
              </w:rPr>
              <w:t xml:space="preserve"> </w:t>
            </w:r>
            <w:r w:rsidRPr="008331F3">
              <w:rPr>
                <w:shd w:val="clear" w:color="auto" w:fill="FFFFFF"/>
              </w:rPr>
              <w:t>).</w:t>
            </w:r>
          </w:p>
          <w:p w:rsidR="00A11A21" w:rsidRPr="008331F3" w:rsidRDefault="00A11A21" w:rsidP="00A11A21">
            <w:pPr>
              <w:shd w:val="clear" w:color="auto" w:fill="FFFFFF"/>
              <w:jc w:val="both"/>
            </w:pPr>
            <w:bookmarkStart w:id="5" w:name="n1182"/>
            <w:bookmarkStart w:id="6" w:name="n1183"/>
            <w:bookmarkEnd w:id="5"/>
            <w:bookmarkEnd w:id="6"/>
            <w:r w:rsidRPr="008331F3"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A11A21" w:rsidRPr="008331F3" w:rsidRDefault="00A11A21" w:rsidP="00A11A21">
            <w:pPr>
              <w:jc w:val="both"/>
            </w:pPr>
            <w:r w:rsidRPr="008331F3">
              <w:rPr>
                <w:shd w:val="clear" w:color="auto" w:fill="FFFFFF"/>
              </w:rPr>
              <w:t xml:space="preserve">     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5C6DF2" w:rsidRPr="00A11A21" w:rsidRDefault="00A11A21" w:rsidP="008C433E">
            <w:pPr>
              <w:pStyle w:val="a5"/>
              <w:spacing w:line="276" w:lineRule="auto"/>
              <w:jc w:val="both"/>
              <w:rPr>
                <w:rStyle w:val="a3"/>
                <w:b/>
                <w:color w:val="auto"/>
                <w:u w:val="none"/>
              </w:rPr>
            </w:pPr>
            <w:r w:rsidRPr="00A11A21">
              <w:rPr>
                <w:b/>
              </w:rPr>
              <w:t xml:space="preserve">      Строк надання інформації для участі у конкурсі, що подається через Єдиний портал вакансій державної служби: до 17.00 год.  </w:t>
            </w:r>
            <w:r>
              <w:rPr>
                <w:b/>
              </w:rPr>
              <w:t xml:space="preserve">       </w:t>
            </w:r>
            <w:r w:rsidR="00BC0381">
              <w:rPr>
                <w:b/>
              </w:rPr>
              <w:t>2</w:t>
            </w:r>
            <w:r w:rsidR="008C433E">
              <w:rPr>
                <w:b/>
              </w:rPr>
              <w:t>3</w:t>
            </w:r>
            <w:r w:rsidRPr="00A11A21">
              <w:rPr>
                <w:b/>
              </w:rPr>
              <w:t xml:space="preserve">  </w:t>
            </w:r>
            <w:r w:rsidR="008C433E">
              <w:rPr>
                <w:b/>
              </w:rPr>
              <w:t>вересня</w:t>
            </w:r>
            <w:r w:rsidRPr="00A11A21">
              <w:rPr>
                <w:b/>
              </w:rPr>
              <w:t xml:space="preserve"> 2021 року.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47605F" w:rsidRDefault="005C6DF2">
            <w:pPr>
              <w:pStyle w:val="a5"/>
              <w:spacing w:line="276" w:lineRule="auto"/>
              <w:jc w:val="center"/>
              <w:rPr>
                <w:rStyle w:val="a3"/>
                <w:color w:val="000000" w:themeColor="text1"/>
                <w:u w:val="none"/>
              </w:rPr>
            </w:pPr>
            <w:r w:rsidRPr="004977E8">
              <w:rPr>
                <w:color w:val="000000" w:themeColor="text1"/>
                <w:lang w:eastAsia="en-US"/>
              </w:rPr>
              <w:lastRenderedPageBreak/>
              <w:t xml:space="preserve">Додаткові (необов'язкові) </w:t>
            </w:r>
            <w:r w:rsidRPr="0047605F">
              <w:rPr>
                <w:color w:val="000000" w:themeColor="text1"/>
                <w:lang w:eastAsia="en-US"/>
              </w:rPr>
              <w:br/>
            </w:r>
            <w:r w:rsidRPr="004977E8">
              <w:rPr>
                <w:color w:val="000000" w:themeColor="text1"/>
                <w:lang w:eastAsia="en-US"/>
              </w:rPr>
              <w:t>документи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C65A1A" w:rsidP="00792BAE">
            <w:pPr>
              <w:pStyle w:val="a5"/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hyperlink r:id="rId9" w:anchor="n14" w:tgtFrame="_blank" w:history="1">
              <w:r w:rsidR="005C6DF2">
                <w:rPr>
                  <w:rStyle w:val="a3"/>
                  <w:color w:val="auto"/>
                  <w:u w:val="none"/>
                  <w:lang w:eastAsia="en-US"/>
                </w:rPr>
                <w:t>З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47605F" w:rsidRDefault="005C6DF2">
            <w:pPr>
              <w:pStyle w:val="a5"/>
              <w:spacing w:line="276" w:lineRule="auto"/>
              <w:jc w:val="center"/>
              <w:rPr>
                <w:rStyle w:val="a3"/>
                <w:color w:val="000000" w:themeColor="text1"/>
                <w:u w:val="none"/>
              </w:rPr>
            </w:pPr>
            <w:r w:rsidRPr="004977E8">
              <w:rPr>
                <w:color w:val="000000" w:themeColor="text1"/>
                <w:lang w:eastAsia="en-US"/>
              </w:rPr>
              <w:t>Місце, час і дата початку проведення оцінювання кандидатів</w:t>
            </w:r>
            <w:r w:rsidR="004977E8">
              <w:rPr>
                <w:color w:val="000000" w:themeColor="text1"/>
              </w:rPr>
              <w:t xml:space="preserve"> (тестування)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BC0381" w:rsidP="008C433E">
            <w:pPr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r>
              <w:rPr>
                <w:b/>
              </w:rPr>
              <w:t>2</w:t>
            </w:r>
            <w:r w:rsidR="008C433E">
              <w:rPr>
                <w:b/>
              </w:rPr>
              <w:t>8</w:t>
            </w:r>
            <w:r w:rsidR="005C6DF2" w:rsidRPr="004977E8">
              <w:rPr>
                <w:b/>
              </w:rPr>
              <w:t xml:space="preserve"> </w:t>
            </w:r>
            <w:r w:rsidR="008C433E">
              <w:rPr>
                <w:b/>
              </w:rPr>
              <w:t>вересня</w:t>
            </w:r>
            <w:r w:rsidR="00A11A21">
              <w:rPr>
                <w:b/>
              </w:rPr>
              <w:t xml:space="preserve"> 2021</w:t>
            </w:r>
            <w:r w:rsidR="005C6DF2" w:rsidRPr="004977E8">
              <w:rPr>
                <w:b/>
              </w:rPr>
              <w:t xml:space="preserve"> року о 10 годині 00 хвилин</w:t>
            </w:r>
            <w:r w:rsidR="005C6DF2">
              <w:t xml:space="preserve"> у приміщенні </w:t>
            </w:r>
            <w:r w:rsidR="0047605F">
              <w:t>Новомиргородського</w:t>
            </w:r>
            <w:r w:rsidR="005C6DF2">
              <w:t xml:space="preserve"> районного суду Кіровоградської області за адресою: 26</w:t>
            </w:r>
            <w:r w:rsidR="0047605F">
              <w:t>0</w:t>
            </w:r>
            <w:r w:rsidR="005C6DF2">
              <w:t>00,</w:t>
            </w:r>
            <w:r w:rsidR="0047605F">
              <w:t xml:space="preserve"> </w:t>
            </w:r>
            <w:hyperlink r:id="rId10" w:anchor="n14" w:tgtFrame="_blank" w:history="1">
              <w:r w:rsidR="0047605F">
                <w:rPr>
                  <w:rStyle w:val="a3"/>
                  <w:color w:val="auto"/>
                  <w:u w:val="none"/>
                  <w:lang w:eastAsia="en-US"/>
                </w:rPr>
                <w:t>м. Новомиргород, Ново</w:t>
              </w:r>
              <w:r w:rsidR="008C433E">
                <w:rPr>
                  <w:rStyle w:val="a3"/>
                  <w:color w:val="auto"/>
                  <w:u w:val="none"/>
                  <w:lang w:eastAsia="en-US"/>
                </w:rPr>
                <w:t>український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 район, Кіровоградська область, вул. 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Соборності, 157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 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B814CF">
            <w:pPr>
              <w:spacing w:line="276" w:lineRule="auto"/>
              <w:rPr>
                <w:rStyle w:val="a3"/>
                <w:color w:val="auto"/>
                <w:u w:val="none"/>
              </w:rPr>
            </w:pPr>
            <w:r>
              <w:t>Дзюбенко Тетяна Петрівна</w:t>
            </w:r>
          </w:p>
          <w:p w:rsidR="005C6DF2" w:rsidRPr="002E3A28" w:rsidRDefault="00C65A1A">
            <w:pPr>
              <w:spacing w:line="276" w:lineRule="auto"/>
              <w:rPr>
                <w:rStyle w:val="a3"/>
                <w:color w:val="auto"/>
                <w:u w:val="none"/>
                <w:lang w:eastAsia="en-US"/>
              </w:rPr>
            </w:pPr>
            <w:hyperlink r:id="rId12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(0525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6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) 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4-15-</w:t>
              </w:r>
              <w:r w:rsidR="00B814CF">
                <w:rPr>
                  <w:rStyle w:val="a3"/>
                  <w:color w:val="auto"/>
                  <w:u w:val="none"/>
                  <w:lang w:eastAsia="en-US"/>
                </w:rPr>
                <w:t>60</w:t>
              </w:r>
            </w:hyperlink>
          </w:p>
          <w:p w:rsidR="005C6DF2" w:rsidRPr="002E3A28" w:rsidRDefault="00B814CF">
            <w:pPr>
              <w:spacing w:line="276" w:lineRule="auto"/>
              <w:rPr>
                <w:rStyle w:val="a3"/>
                <w:color w:val="auto"/>
                <w:u w:val="none"/>
                <w:lang w:eastAsia="en-US"/>
              </w:rPr>
            </w:pPr>
            <w:r w:rsidRPr="00B814CF">
              <w:t>dzubenko@nm.kr.court.gov.ua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13" w:anchor="n14" w:tgtFrame="_blank" w:history="1">
              <w:r w:rsidR="005C6DF2" w:rsidRPr="002E3A28">
                <w:rPr>
                  <w:rStyle w:val="a3"/>
                  <w:b/>
                  <w:color w:val="auto"/>
                  <w:u w:val="none"/>
                  <w:lang w:eastAsia="en-US"/>
                </w:rPr>
                <w:t>Кваліфікаційні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5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Освіта</w:t>
              </w:r>
            </w:hyperlink>
          </w:p>
        </w:tc>
        <w:tc>
          <w:tcPr>
            <w:tcW w:w="3752" w:type="pct"/>
            <w:gridSpan w:val="2"/>
            <w:hideMark/>
          </w:tcPr>
          <w:p w:rsidR="005C6DF2" w:rsidRPr="002E3A28" w:rsidRDefault="005C6DF2" w:rsidP="0047605F">
            <w:pPr>
              <w:pStyle w:val="a5"/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r>
              <w:t>В</w:t>
            </w:r>
            <w:r w:rsidRPr="002E3A28">
              <w:t xml:space="preserve">ища, ступінь вищої освіти не нижче </w:t>
            </w:r>
            <w:r w:rsidR="00756E79">
              <w:t xml:space="preserve">молодшого </w:t>
            </w:r>
            <w:r w:rsidRPr="002E3A28">
              <w:t xml:space="preserve">бакалавра </w:t>
            </w:r>
            <w:r w:rsidR="0047605F" w:rsidRPr="00832D4B">
              <w:rPr>
                <w:rFonts w:eastAsia="Times New Roman"/>
              </w:rPr>
              <w:t>або бакалавра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6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7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Досвід роботи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Без вимог до досвіду роботи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8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3.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9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Володіння державною мовою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В</w:t>
            </w:r>
            <w:r w:rsidRPr="002E3A28">
              <w:t>ільне володіння державною мовою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0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4.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Володіння іноземною мовою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Н</w:t>
            </w:r>
            <w:r w:rsidRPr="002E3A28">
              <w:t>е потребує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0" w:type="auto"/>
            <w:gridSpan w:val="4"/>
            <w:hideMark/>
          </w:tcPr>
          <w:p w:rsidR="005C6DF2" w:rsidRPr="00952417" w:rsidRDefault="00C65A1A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22" w:anchor="n14" w:tgtFrame="_blank" w:history="1">
              <w:r w:rsidR="005C6DF2" w:rsidRPr="00952417">
                <w:rPr>
                  <w:rStyle w:val="a3"/>
                  <w:b/>
                  <w:color w:val="auto"/>
                  <w:u w:val="none"/>
                  <w:lang w:eastAsia="en-US"/>
                </w:rPr>
                <w:t>Вимоги до компетентності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3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Вимога</w:t>
              </w:r>
            </w:hyperlink>
          </w:p>
        </w:tc>
        <w:tc>
          <w:tcPr>
            <w:tcW w:w="3752" w:type="pct"/>
            <w:gridSpan w:val="2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Компоненти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B238C4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5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Default="005C6DF2" w:rsidP="00BF4ECA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Необхідні особистісні якості</w:t>
            </w:r>
          </w:p>
        </w:tc>
        <w:tc>
          <w:tcPr>
            <w:tcW w:w="3752" w:type="pct"/>
            <w:gridSpan w:val="2"/>
            <w:hideMark/>
          </w:tcPr>
          <w:p w:rsidR="005C6DF2" w:rsidRDefault="005C6DF2" w:rsidP="00BF4ECA">
            <w:pPr>
              <w:pStyle w:val="content"/>
              <w:spacing w:before="0" w:beforeAutospacing="0" w:after="120" w:afterAutospacing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OLE_LINK14"/>
            <w:bookmarkStart w:id="8" w:name="OLE_LINK15"/>
            <w:r>
              <w:rPr>
                <w:rFonts w:ascii="Times New Roman" w:hAnsi="Times New Roman"/>
                <w:sz w:val="24"/>
                <w:szCs w:val="24"/>
              </w:rPr>
              <w:t xml:space="preserve">Комунікабельність, дисциплінованість, емоційна стабільність, ініціативність, </w:t>
            </w:r>
            <w:r w:rsidR="00756E79">
              <w:rPr>
                <w:rFonts w:ascii="Times New Roman" w:hAnsi="Times New Roman"/>
                <w:sz w:val="24"/>
                <w:szCs w:val="24"/>
              </w:rPr>
              <w:t>тактовність, надійність, порядність</w:t>
            </w:r>
            <w:r w:rsidR="003F030B">
              <w:rPr>
                <w:rFonts w:ascii="Times New Roman" w:hAnsi="Times New Roman"/>
                <w:sz w:val="24"/>
                <w:szCs w:val="24"/>
              </w:rPr>
              <w:t>,</w:t>
            </w:r>
            <w:r w:rsidR="0047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відповідальність, неупередженість,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організація на саморозвиток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7"/>
            <w:bookmarkEnd w:id="8"/>
          </w:p>
        </w:tc>
      </w:tr>
      <w:tr w:rsidR="005C6DF2" w:rsidRPr="002E3A28" w:rsidTr="001E09F5">
        <w:trPr>
          <w:trHeight w:val="1408"/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B238C4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6" w:anchor="n14" w:tgtFrame="_blank" w:history="1">
              <w:r w:rsidR="005C6DF2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Default="005C6DF2" w:rsidP="00BF4ECA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Необхідні ділові якості</w:t>
            </w:r>
          </w:p>
        </w:tc>
        <w:tc>
          <w:tcPr>
            <w:tcW w:w="3752" w:type="pct"/>
            <w:gridSpan w:val="2"/>
            <w:hideMark/>
          </w:tcPr>
          <w:p w:rsidR="005C6DF2" w:rsidRDefault="00756E79" w:rsidP="00756E79">
            <w:pPr>
              <w:spacing w:after="200" w:line="276" w:lineRule="auto"/>
              <w:jc w:val="both"/>
              <w:rPr>
                <w:lang w:eastAsia="en-US"/>
              </w:rPr>
            </w:pPr>
            <w:bookmarkStart w:id="9" w:name="OLE_LINK13"/>
            <w:r>
              <w:t>О</w:t>
            </w:r>
            <w:r w:rsidR="005C6DF2">
              <w:t xml:space="preserve">перативність, здатність концентруватись на деталях, сприйняття змін, </w:t>
            </w:r>
            <w:proofErr w:type="spellStart"/>
            <w:r w:rsidR="005C6DF2">
              <w:t>стресостійкість</w:t>
            </w:r>
            <w:proofErr w:type="spellEnd"/>
            <w:r w:rsidR="005C6DF2">
              <w:t xml:space="preserve">, </w:t>
            </w:r>
            <w:r>
              <w:t xml:space="preserve">уміння дотримуватися субординації, </w:t>
            </w:r>
            <w:r w:rsidR="005C6DF2">
              <w:t>вміння визначати пріоритети, уміння працювати та взаємодіяти в команді,</w:t>
            </w:r>
            <w:bookmarkEnd w:id="9"/>
            <w:r w:rsidR="0047605F">
              <w:t xml:space="preserve"> </w:t>
            </w:r>
            <w:r w:rsidR="005C6DF2" w:rsidRPr="00BF4ECA">
              <w:rPr>
                <w:rStyle w:val="212pt"/>
                <w:rFonts w:eastAsiaTheme="minorEastAsia"/>
                <w:b w:val="0"/>
              </w:rPr>
              <w:t>систе</w:t>
            </w:r>
            <w:r w:rsidR="005C6DF2">
              <w:rPr>
                <w:rStyle w:val="212pt"/>
                <w:rFonts w:eastAsiaTheme="minorEastAsia"/>
                <w:b w:val="0"/>
              </w:rPr>
              <w:t>мність і самостійність в роботі.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</w:tcPr>
          <w:p w:rsidR="005C6DF2" w:rsidRPr="002E3A28" w:rsidRDefault="005C6DF2" w:rsidP="00B238C4">
            <w:pPr>
              <w:pStyle w:val="a5"/>
              <w:spacing w:line="276" w:lineRule="auto"/>
              <w:jc w:val="center"/>
            </w:pPr>
            <w:r>
              <w:t>3.</w:t>
            </w:r>
          </w:p>
        </w:tc>
        <w:tc>
          <w:tcPr>
            <w:tcW w:w="909" w:type="pct"/>
            <w:vAlign w:val="center"/>
          </w:tcPr>
          <w:p w:rsidR="005C6DF2" w:rsidRDefault="005C6DF2" w:rsidP="00BF4EC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Технічні вміння</w:t>
            </w:r>
          </w:p>
        </w:tc>
        <w:tc>
          <w:tcPr>
            <w:tcW w:w="3752" w:type="pct"/>
            <w:gridSpan w:val="2"/>
          </w:tcPr>
          <w:p w:rsidR="005C6DF2" w:rsidRDefault="005C6DF2" w:rsidP="002A675E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Володіння комп’ютером на рівні досвідченого користувача; вміння використовувати комп’ютерне обладнання, програмне забезпечення, офісну техніку; досвід роботи з офісним пакетом Microsoft Office (Word, Excel).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5C6DF2" w:rsidRPr="00FB3FF4" w:rsidRDefault="00C65A1A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27" w:anchor="n14" w:tgtFrame="_blank" w:history="1">
              <w:r w:rsidR="005C6DF2" w:rsidRPr="00FB3FF4">
                <w:rPr>
                  <w:rStyle w:val="a3"/>
                  <w:b/>
                  <w:color w:val="auto"/>
                  <w:u w:val="none"/>
                  <w:lang w:eastAsia="en-US"/>
                </w:rPr>
                <w:t>Професійні знання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64" w:type="pct"/>
            <w:gridSpan w:val="3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8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Вимога</w:t>
              </w:r>
            </w:hyperlink>
          </w:p>
        </w:tc>
        <w:tc>
          <w:tcPr>
            <w:tcW w:w="2372" w:type="pct"/>
            <w:hideMark/>
          </w:tcPr>
          <w:p w:rsidR="005C6DF2" w:rsidRPr="002E3A28" w:rsidRDefault="00C65A1A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9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Компоненти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0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2289" w:type="pct"/>
            <w:gridSpan w:val="2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 законодавства</w:t>
              </w:r>
            </w:hyperlink>
          </w:p>
        </w:tc>
        <w:tc>
          <w:tcPr>
            <w:tcW w:w="2372" w:type="pct"/>
            <w:hideMark/>
          </w:tcPr>
          <w:p w:rsidR="005C6DF2" w:rsidRPr="002E3A28" w:rsidRDefault="00C65A1A">
            <w:pPr>
              <w:pStyle w:val="a5"/>
              <w:spacing w:line="276" w:lineRule="auto"/>
              <w:rPr>
                <w:rStyle w:val="a3"/>
                <w:color w:val="auto"/>
                <w:u w:val="none"/>
              </w:rPr>
            </w:pPr>
            <w:hyperlink r:id="rId32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Знання:</w:t>
              </w:r>
              <w:r w:rsidR="005C6DF2" w:rsidRPr="002E3A28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 xml:space="preserve">Конституції України; </w:t>
              </w:r>
              <w:r w:rsidR="005C6DF2" w:rsidRPr="00BF4ECA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 xml:space="preserve">Закону України "Про державну службу"; </w:t>
              </w:r>
              <w:r w:rsidR="005C6DF2" w:rsidRPr="00BF4ECA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>Закону України "Про запобігання корупції"</w:t>
              </w:r>
            </w:hyperlink>
          </w:p>
        </w:tc>
      </w:tr>
      <w:tr w:rsidR="005C6DF2" w:rsidRPr="002E3A28" w:rsidTr="008C433E">
        <w:trPr>
          <w:trHeight w:val="4303"/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3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2289" w:type="pct"/>
            <w:gridSpan w:val="2"/>
            <w:vAlign w:val="center"/>
            <w:hideMark/>
          </w:tcPr>
          <w:p w:rsidR="005C6DF2" w:rsidRPr="002E3A28" w:rsidRDefault="00C65A1A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  </w:r>
            </w:hyperlink>
          </w:p>
        </w:tc>
        <w:tc>
          <w:tcPr>
            <w:tcW w:w="2372" w:type="pct"/>
            <w:hideMark/>
          </w:tcPr>
          <w:p w:rsidR="005C6DF2" w:rsidRDefault="005C6DF2" w:rsidP="008E4616">
            <w:pPr>
              <w:pStyle w:val="a5"/>
              <w:jc w:val="both"/>
            </w:pPr>
            <w:r>
              <w:t>Знання:</w:t>
            </w:r>
          </w:p>
          <w:p w:rsidR="00E6060D" w:rsidRDefault="005C6DF2" w:rsidP="008E4616">
            <w:pPr>
              <w:pStyle w:val="a5"/>
              <w:jc w:val="both"/>
            </w:pPr>
            <w:r w:rsidRPr="00C91EFD">
              <w:t>Закон</w:t>
            </w:r>
            <w:r>
              <w:t>у</w:t>
            </w:r>
            <w:r w:rsidRPr="00C91EFD">
              <w:t xml:space="preserve"> України «Про судоустрій і статус суддів»</w:t>
            </w:r>
            <w:r>
              <w:t xml:space="preserve">;  </w:t>
            </w:r>
          </w:p>
          <w:p w:rsidR="005C6DF2" w:rsidRDefault="00E6060D" w:rsidP="008E4616">
            <w:pPr>
              <w:pStyle w:val="a5"/>
              <w:jc w:val="both"/>
            </w:pPr>
            <w:r>
              <w:t>Закону України «Про судовий збір»;</w:t>
            </w:r>
          </w:p>
          <w:p w:rsidR="005C6DF2" w:rsidRDefault="005C6DF2" w:rsidP="008E4616">
            <w:pPr>
              <w:pStyle w:val="a5"/>
              <w:jc w:val="both"/>
            </w:pPr>
            <w:r>
              <w:t>І</w:t>
            </w:r>
            <w:r w:rsidRPr="008E4616">
              <w:t>нструкці</w:t>
            </w:r>
            <w:r>
              <w:t>ї</w:t>
            </w:r>
            <w:r w:rsidRPr="008E4616">
              <w:t xml:space="preserve"> з діловодства в місцевих та апеляційних судах України</w:t>
            </w:r>
            <w:r>
              <w:t>, затвердженої наказом Державної судової адміністрації України від 20 серпня 2019 року N 814;</w:t>
            </w:r>
          </w:p>
          <w:p w:rsidR="005C6DF2" w:rsidRPr="00BF4ECA" w:rsidRDefault="005C6DF2" w:rsidP="001C0615">
            <w:pPr>
              <w:pStyle w:val="a5"/>
              <w:jc w:val="both"/>
              <w:rPr>
                <w:rStyle w:val="a3"/>
                <w:color w:val="auto"/>
                <w:u w:val="none"/>
              </w:rPr>
            </w:pPr>
            <w:r w:rsidRPr="0023508B">
              <w:t>Положення про автоматизовану систему документообігу суду, затверджен</w:t>
            </w:r>
            <w:r>
              <w:t>ого</w:t>
            </w:r>
            <w:r w:rsidR="00B814CF">
              <w:t xml:space="preserve"> </w:t>
            </w:r>
            <w:r>
              <w:t>р</w:t>
            </w:r>
            <w:r w:rsidRPr="0023508B">
              <w:t>ішенням Ради суддів України від 26.11.2010 р. № 30</w:t>
            </w:r>
          </w:p>
        </w:tc>
      </w:tr>
    </w:tbl>
    <w:p w:rsidR="00E234F7" w:rsidRPr="002E3A28" w:rsidRDefault="00E234F7" w:rsidP="008C433E">
      <w:pPr>
        <w:rPr>
          <w:rStyle w:val="a3"/>
          <w:rFonts w:eastAsia="Times New Roman"/>
          <w:color w:val="auto"/>
          <w:u w:val="none"/>
        </w:rPr>
      </w:pPr>
      <w:bookmarkStart w:id="10" w:name="_GoBack"/>
      <w:bookmarkEnd w:id="10"/>
    </w:p>
    <w:sectPr w:rsidR="00E234F7" w:rsidRPr="002E3A28" w:rsidSect="008C433E">
      <w:pgSz w:w="11906" w:h="16838"/>
      <w:pgMar w:top="0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2B8E"/>
    <w:multiLevelType w:val="multilevel"/>
    <w:tmpl w:val="1E3E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5F17"/>
    <w:multiLevelType w:val="hybridMultilevel"/>
    <w:tmpl w:val="75387646"/>
    <w:lvl w:ilvl="0" w:tplc="4EEE80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F6A9F"/>
    <w:multiLevelType w:val="hybridMultilevel"/>
    <w:tmpl w:val="B7DC2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92085"/>
    <w:multiLevelType w:val="hybridMultilevel"/>
    <w:tmpl w:val="05BC6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0"/>
  <w:characterSpacingControl w:val="doNotCompress"/>
  <w:compat/>
  <w:rsids>
    <w:rsidRoot w:val="00DC3F62"/>
    <w:rsid w:val="000A109C"/>
    <w:rsid w:val="000A2471"/>
    <w:rsid w:val="000D5E33"/>
    <w:rsid w:val="000E6A7E"/>
    <w:rsid w:val="0010690D"/>
    <w:rsid w:val="0013644A"/>
    <w:rsid w:val="0016360E"/>
    <w:rsid w:val="00182B99"/>
    <w:rsid w:val="001C0615"/>
    <w:rsid w:val="001D3678"/>
    <w:rsid w:val="001E09F5"/>
    <w:rsid w:val="001E2836"/>
    <w:rsid w:val="00262A5A"/>
    <w:rsid w:val="002739FC"/>
    <w:rsid w:val="002A675E"/>
    <w:rsid w:val="002B5727"/>
    <w:rsid w:val="002C7767"/>
    <w:rsid w:val="002E3A28"/>
    <w:rsid w:val="00316AA2"/>
    <w:rsid w:val="003C7627"/>
    <w:rsid w:val="003E74A1"/>
    <w:rsid w:val="003F030B"/>
    <w:rsid w:val="004454ED"/>
    <w:rsid w:val="0046203A"/>
    <w:rsid w:val="0047605F"/>
    <w:rsid w:val="0049226E"/>
    <w:rsid w:val="004977E8"/>
    <w:rsid w:val="004A01E1"/>
    <w:rsid w:val="005871A8"/>
    <w:rsid w:val="005C6DF2"/>
    <w:rsid w:val="00642FF9"/>
    <w:rsid w:val="006666AF"/>
    <w:rsid w:val="006728EB"/>
    <w:rsid w:val="006C24DF"/>
    <w:rsid w:val="006D41C3"/>
    <w:rsid w:val="00703AD2"/>
    <w:rsid w:val="00756E79"/>
    <w:rsid w:val="00792BAE"/>
    <w:rsid w:val="007C3EE6"/>
    <w:rsid w:val="0082075B"/>
    <w:rsid w:val="008C433E"/>
    <w:rsid w:val="008C5E39"/>
    <w:rsid w:val="008E4616"/>
    <w:rsid w:val="008E7CC3"/>
    <w:rsid w:val="009067ED"/>
    <w:rsid w:val="00923AFE"/>
    <w:rsid w:val="009320C6"/>
    <w:rsid w:val="00952417"/>
    <w:rsid w:val="00973381"/>
    <w:rsid w:val="00987546"/>
    <w:rsid w:val="00993892"/>
    <w:rsid w:val="009E14FC"/>
    <w:rsid w:val="009E1BE0"/>
    <w:rsid w:val="00A11A21"/>
    <w:rsid w:val="00A413C3"/>
    <w:rsid w:val="00A97CA1"/>
    <w:rsid w:val="00AA6AEE"/>
    <w:rsid w:val="00B238C4"/>
    <w:rsid w:val="00B358B5"/>
    <w:rsid w:val="00B67572"/>
    <w:rsid w:val="00B814CF"/>
    <w:rsid w:val="00BC0381"/>
    <w:rsid w:val="00BF4ECA"/>
    <w:rsid w:val="00C50E6D"/>
    <w:rsid w:val="00C65A1A"/>
    <w:rsid w:val="00C6799D"/>
    <w:rsid w:val="00C930FD"/>
    <w:rsid w:val="00D31A92"/>
    <w:rsid w:val="00D62B64"/>
    <w:rsid w:val="00DC3F62"/>
    <w:rsid w:val="00E234F7"/>
    <w:rsid w:val="00E36F50"/>
    <w:rsid w:val="00E6060D"/>
    <w:rsid w:val="00E86B00"/>
    <w:rsid w:val="00EA5CE3"/>
    <w:rsid w:val="00F11591"/>
    <w:rsid w:val="00F22D90"/>
    <w:rsid w:val="00F717BE"/>
    <w:rsid w:val="00F75057"/>
    <w:rsid w:val="00FB3FF4"/>
    <w:rsid w:val="00FE220E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6D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unhideWhenUsed/>
    <w:qFormat/>
    <w:rsid w:val="00C50E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E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0E6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locked/>
    <w:rsid w:val="00C50E6D"/>
    <w:rPr>
      <w:rFonts w:ascii="Times New Roman" w:eastAsiaTheme="minorEastAsia" w:hAnsi="Times New Roman" w:cs="Times New Roman" w:hint="default"/>
      <w:b/>
      <w:bCs/>
      <w:sz w:val="27"/>
      <w:szCs w:val="27"/>
      <w:lang w:eastAsia="uk-UA"/>
    </w:rPr>
  </w:style>
  <w:style w:type="paragraph" w:styleId="a5">
    <w:name w:val="Normal (Web)"/>
    <w:basedOn w:val="a"/>
    <w:unhideWhenUsed/>
    <w:rsid w:val="00C50E6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50E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-Absatz-Standardschriftart1">
    <w:name w:val="WW-Absatz-Standardschriftart1"/>
    <w:rsid w:val="00C50E6D"/>
  </w:style>
  <w:style w:type="paragraph" w:customStyle="1" w:styleId="a7">
    <w:name w:val="Знак Знак Знак Знак"/>
    <w:basedOn w:val="a"/>
    <w:rsid w:val="00FF7F3A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rvps14">
    <w:name w:val="rvps14"/>
    <w:basedOn w:val="a"/>
    <w:rsid w:val="00B238C4"/>
    <w:pPr>
      <w:suppressAutoHyphens/>
      <w:autoSpaceDN w:val="0"/>
      <w:spacing w:before="100" w:after="100"/>
      <w:textAlignment w:val="baseline"/>
    </w:pPr>
    <w:rPr>
      <w:rFonts w:eastAsia="Times New Roman"/>
    </w:rPr>
  </w:style>
  <w:style w:type="paragraph" w:customStyle="1" w:styleId="content">
    <w:name w:val="content"/>
    <w:basedOn w:val="a"/>
    <w:rsid w:val="00BF4ECA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/>
      <w:sz w:val="20"/>
      <w:szCs w:val="20"/>
    </w:rPr>
  </w:style>
  <w:style w:type="character" w:customStyle="1" w:styleId="212pt">
    <w:name w:val="Основной текст (2) + 12 pt;Не полужирный"/>
    <w:basedOn w:val="a0"/>
    <w:rsid w:val="00BF4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15">
    <w:name w:val="rvts15"/>
    <w:basedOn w:val="a0"/>
    <w:rsid w:val="0047605F"/>
  </w:style>
  <w:style w:type="paragraph" w:styleId="a8">
    <w:name w:val="Normal Indent"/>
    <w:basedOn w:val="a"/>
    <w:rsid w:val="0047605F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47605F"/>
    <w:pPr>
      <w:spacing w:before="120"/>
      <w:ind w:firstLine="567"/>
      <w:jc w:val="both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A11A21"/>
    <w:pPr>
      <w:spacing w:before="100" w:beforeAutospacing="1" w:after="100" w:afterAutospacing="1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A11A21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11A21"/>
    <w:rPr>
      <w:rFonts w:ascii="Calibri" w:eastAsia="Calibri" w:hAnsi="Calibri" w:cs="Times New Roman"/>
      <w:sz w:val="22"/>
      <w:szCs w:val="22"/>
    </w:rPr>
  </w:style>
  <w:style w:type="character" w:customStyle="1" w:styleId="rvts9">
    <w:name w:val="rvts9"/>
    <w:basedOn w:val="a0"/>
    <w:rsid w:val="00A1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eastAsiaTheme="minorEastAsia" w:hAnsi="Times New Roman" w:cs="Times New Roman" w:hint="default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-Absatz-Standardschriftart1">
    <w:name w:val="WW-Absatz-Standardschriftart1"/>
  </w:style>
  <w:style w:type="paragraph" w:customStyle="1" w:styleId="a7">
    <w:name w:val="Знак Знак Знак Знак"/>
    <w:basedOn w:val="a"/>
    <w:rsid w:val="00FF7F3A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rvps14">
    <w:name w:val="rvps14"/>
    <w:basedOn w:val="a"/>
    <w:rsid w:val="00B238C4"/>
    <w:pPr>
      <w:suppressAutoHyphens/>
      <w:autoSpaceDN w:val="0"/>
      <w:spacing w:before="100" w:after="100"/>
      <w:textAlignment w:val="baseline"/>
    </w:pPr>
    <w:rPr>
      <w:rFonts w:eastAsia="Times New Roman"/>
    </w:rPr>
  </w:style>
  <w:style w:type="paragraph" w:customStyle="1" w:styleId="content">
    <w:name w:val="content"/>
    <w:basedOn w:val="a"/>
    <w:rsid w:val="00BF4ECA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/>
      <w:sz w:val="20"/>
      <w:szCs w:val="20"/>
    </w:rPr>
  </w:style>
  <w:style w:type="character" w:customStyle="1" w:styleId="212pt">
    <w:name w:val="Основной текст (2) + 12 pt;Не полужирный"/>
    <w:basedOn w:val="a0"/>
    <w:rsid w:val="00BF4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yperlink" Target="https://zakon.rada.gov.ua/laws/show/1682-18/paran14" TargetMode="External"/><Relationship Id="rId18" Type="http://schemas.openxmlformats.org/officeDocument/2006/relationships/hyperlink" Target="https://zakon.rada.gov.ua/laws/show/1682-18/paran14" TargetMode="External"/><Relationship Id="rId26" Type="http://schemas.openxmlformats.org/officeDocument/2006/relationships/hyperlink" Target="https://zakon.rada.gov.ua/laws/show/1682-18/paran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682-18/paran14" TargetMode="External"/><Relationship Id="rId34" Type="http://schemas.openxmlformats.org/officeDocument/2006/relationships/hyperlink" Target="https://zakon.rada.gov.ua/laws/show/1682-18/paran14" TargetMode="Externa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hyperlink" Target="https://zakon.rada.gov.ua/laws/show/1682-18/paran14" TargetMode="External"/><Relationship Id="rId17" Type="http://schemas.openxmlformats.org/officeDocument/2006/relationships/hyperlink" Target="https://zakon.rada.gov.ua/laws/show/1682-18/paran14" TargetMode="External"/><Relationship Id="rId25" Type="http://schemas.openxmlformats.org/officeDocument/2006/relationships/hyperlink" Target="https://zakon.rada.gov.ua/laws/show/1682-18/paran14" TargetMode="External"/><Relationship Id="rId33" Type="http://schemas.openxmlformats.org/officeDocument/2006/relationships/hyperlink" Target="https://zakon.rada.gov.ua/laws/show/1682-18/paran14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682-18/paran14" TargetMode="External"/><Relationship Id="rId20" Type="http://schemas.openxmlformats.org/officeDocument/2006/relationships/hyperlink" Target="https://zakon.rada.gov.ua/laws/show/1682-18/paran14" TargetMode="External"/><Relationship Id="rId29" Type="http://schemas.openxmlformats.org/officeDocument/2006/relationships/hyperlink" Target="https://zakon.rada.gov.ua/laws/show/1682-18/paran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hyperlink" Target="https://zakon.rada.gov.ua/laws/show/1682-18/paran14" TargetMode="External"/><Relationship Id="rId24" Type="http://schemas.openxmlformats.org/officeDocument/2006/relationships/hyperlink" Target="https://zakon.rada.gov.ua/laws/show/1682-18/paran14" TargetMode="External"/><Relationship Id="rId32" Type="http://schemas.openxmlformats.org/officeDocument/2006/relationships/hyperlink" Target="https://zakon.rada.gov.ua/laws/show/1682-18/paran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82-18/paran14" TargetMode="External"/><Relationship Id="rId23" Type="http://schemas.openxmlformats.org/officeDocument/2006/relationships/hyperlink" Target="https://zakon.rada.gov.ua/laws/show/1682-18/paran14" TargetMode="External"/><Relationship Id="rId28" Type="http://schemas.openxmlformats.org/officeDocument/2006/relationships/hyperlink" Target="https://zakon.rada.gov.ua/laws/show/1682-18/paran1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akon.rada.gov.ua/laws/show/1682-18/paran14" TargetMode="External"/><Relationship Id="rId19" Type="http://schemas.openxmlformats.org/officeDocument/2006/relationships/hyperlink" Target="https://zakon.rada.gov.ua/laws/show/1682-18/paran14" TargetMode="External"/><Relationship Id="rId31" Type="http://schemas.openxmlformats.org/officeDocument/2006/relationships/hyperlink" Target="https://zakon.rada.gov.ua/laws/show/1682-18/paran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/paran14" TargetMode="External"/><Relationship Id="rId14" Type="http://schemas.openxmlformats.org/officeDocument/2006/relationships/hyperlink" Target="https://zakon.rada.gov.ua/laws/show/1682-18/paran14" TargetMode="External"/><Relationship Id="rId22" Type="http://schemas.openxmlformats.org/officeDocument/2006/relationships/hyperlink" Target="https://zakon.rada.gov.ua/laws/show/1682-18/paran14" TargetMode="External"/><Relationship Id="rId27" Type="http://schemas.openxmlformats.org/officeDocument/2006/relationships/hyperlink" Target="https://zakon.rada.gov.ua/laws/show/1682-18/paran14" TargetMode="External"/><Relationship Id="rId30" Type="http://schemas.openxmlformats.org/officeDocument/2006/relationships/hyperlink" Target="https://zakon.rada.gov.ua/laws/show/1682-18/paran1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5793-9E2E-4C77-BB2A-1A919512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Kerap</dc:creator>
  <cp:lastModifiedBy>YANA</cp:lastModifiedBy>
  <cp:revision>5</cp:revision>
  <cp:lastPrinted>2021-04-09T10:05:00Z</cp:lastPrinted>
  <dcterms:created xsi:type="dcterms:W3CDTF">2021-04-07T10:39:00Z</dcterms:created>
  <dcterms:modified xsi:type="dcterms:W3CDTF">2021-09-13T11:59:00Z</dcterms:modified>
</cp:coreProperties>
</file>