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8FB" w:rsidRDefault="00700367" w:rsidP="00700367">
      <w:pPr>
        <w:pStyle w:val="31"/>
        <w:tabs>
          <w:tab w:val="left" w:pos="2625"/>
          <w:tab w:val="center" w:pos="5462"/>
        </w:tabs>
        <w:ind w:firstLine="851"/>
        <w:rPr>
          <w:szCs w:val="28"/>
        </w:rPr>
      </w:pPr>
      <w:r>
        <w:rPr>
          <w:szCs w:val="28"/>
        </w:rPr>
        <w:t xml:space="preserve">         </w:t>
      </w:r>
    </w:p>
    <w:p w:rsidR="002B28FB" w:rsidRPr="00E22C91" w:rsidRDefault="002B28FB" w:rsidP="00E22C91">
      <w:pPr>
        <w:ind w:left="6521"/>
        <w:jc w:val="right"/>
        <w:rPr>
          <w:rFonts w:ascii="Times New Roman" w:hAnsi="Times New Roman" w:cs="Times New Roman"/>
        </w:rPr>
      </w:pPr>
      <w:r>
        <w:t xml:space="preserve">  </w:t>
      </w:r>
      <w:r w:rsidRPr="00E22C91">
        <w:rPr>
          <w:rFonts w:ascii="Times New Roman" w:hAnsi="Times New Roman" w:cs="Times New Roman"/>
        </w:rPr>
        <w:t>Додаток №1</w:t>
      </w:r>
    </w:p>
    <w:p w:rsidR="002B28FB" w:rsidRPr="00E03C7B" w:rsidRDefault="002B28FB" w:rsidP="00E22C91">
      <w:pPr>
        <w:ind w:left="6521"/>
        <w:rPr>
          <w:rFonts w:ascii="Times New Roman" w:hAnsi="Times New Roman" w:cs="Times New Roman"/>
          <w:sz w:val="24"/>
          <w:szCs w:val="24"/>
        </w:rPr>
      </w:pPr>
      <w:r w:rsidRPr="00E22C91">
        <w:rPr>
          <w:rFonts w:ascii="Times New Roman" w:hAnsi="Times New Roman" w:cs="Times New Roman"/>
        </w:rPr>
        <w:t xml:space="preserve">  </w:t>
      </w:r>
      <w:r w:rsidRPr="00E03C7B">
        <w:rPr>
          <w:rFonts w:ascii="Times New Roman" w:hAnsi="Times New Roman" w:cs="Times New Roman"/>
          <w:sz w:val="24"/>
          <w:szCs w:val="24"/>
        </w:rPr>
        <w:t>ЗАТВЕРДЖЕНО</w:t>
      </w:r>
    </w:p>
    <w:p w:rsidR="002B28FB" w:rsidRPr="00E03C7B" w:rsidRDefault="002B28FB" w:rsidP="00E03C7B">
      <w:pPr>
        <w:ind w:left="6096"/>
        <w:rPr>
          <w:rFonts w:ascii="Times New Roman" w:hAnsi="Times New Roman" w:cs="Times New Roman"/>
          <w:sz w:val="24"/>
          <w:szCs w:val="24"/>
        </w:rPr>
      </w:pPr>
      <w:r w:rsidRPr="00E03C7B">
        <w:rPr>
          <w:rFonts w:ascii="Times New Roman" w:hAnsi="Times New Roman" w:cs="Times New Roman"/>
          <w:sz w:val="24"/>
          <w:szCs w:val="24"/>
        </w:rPr>
        <w:t xml:space="preserve">Наказ Бродівського районного </w:t>
      </w:r>
      <w:r w:rsidR="00E22C91" w:rsidRPr="00E03C7B">
        <w:rPr>
          <w:rFonts w:ascii="Times New Roman" w:hAnsi="Times New Roman" w:cs="Times New Roman"/>
          <w:sz w:val="24"/>
          <w:szCs w:val="24"/>
        </w:rPr>
        <w:t xml:space="preserve">        </w:t>
      </w:r>
      <w:r w:rsidR="00E03C7B" w:rsidRPr="00E03C7B">
        <w:rPr>
          <w:rFonts w:ascii="Times New Roman" w:hAnsi="Times New Roman" w:cs="Times New Roman"/>
          <w:sz w:val="24"/>
          <w:szCs w:val="24"/>
        </w:rPr>
        <w:t xml:space="preserve">  </w:t>
      </w:r>
      <w:r w:rsidRPr="00E03C7B">
        <w:rPr>
          <w:rFonts w:ascii="Times New Roman" w:hAnsi="Times New Roman" w:cs="Times New Roman"/>
          <w:sz w:val="24"/>
          <w:szCs w:val="24"/>
        </w:rPr>
        <w:t xml:space="preserve">суду Львівської області № 6/К  </w:t>
      </w:r>
      <w:r w:rsidR="00E03C7B" w:rsidRPr="00E03C7B">
        <w:rPr>
          <w:rFonts w:ascii="Times New Roman" w:hAnsi="Times New Roman" w:cs="Times New Roman"/>
          <w:sz w:val="24"/>
          <w:szCs w:val="24"/>
        </w:rPr>
        <w:t xml:space="preserve"> </w:t>
      </w:r>
      <w:r w:rsidRPr="00E03C7B">
        <w:rPr>
          <w:rFonts w:ascii="Times New Roman" w:hAnsi="Times New Roman" w:cs="Times New Roman"/>
          <w:sz w:val="24"/>
          <w:szCs w:val="24"/>
        </w:rPr>
        <w:t>від 05.02.2021</w:t>
      </w:r>
    </w:p>
    <w:p w:rsidR="002B28FB" w:rsidRPr="002B28FB" w:rsidRDefault="002B28FB" w:rsidP="00E03C7B">
      <w:pPr>
        <w:spacing w:after="0" w:line="240" w:lineRule="auto"/>
        <w:jc w:val="center"/>
        <w:rPr>
          <w:rFonts w:ascii="Times New Roman" w:hAnsi="Times New Roman" w:cs="Times New Roman"/>
          <w:b/>
          <w:sz w:val="28"/>
          <w:szCs w:val="28"/>
        </w:rPr>
      </w:pPr>
      <w:r w:rsidRPr="002B28FB">
        <w:rPr>
          <w:rFonts w:ascii="Times New Roman" w:hAnsi="Times New Roman" w:cs="Times New Roman"/>
          <w:b/>
          <w:sz w:val="28"/>
          <w:szCs w:val="28"/>
        </w:rPr>
        <w:t>ОГОЛОШЕННЯ</w:t>
      </w:r>
    </w:p>
    <w:p w:rsidR="002B28FB" w:rsidRPr="002B28FB" w:rsidRDefault="002B28FB" w:rsidP="00E03C7B">
      <w:pPr>
        <w:spacing w:after="0" w:line="240" w:lineRule="auto"/>
        <w:jc w:val="center"/>
        <w:rPr>
          <w:rFonts w:ascii="Times New Roman" w:hAnsi="Times New Roman" w:cs="Times New Roman"/>
          <w:b/>
          <w:sz w:val="28"/>
          <w:szCs w:val="28"/>
        </w:rPr>
      </w:pPr>
      <w:r w:rsidRPr="002B28FB">
        <w:rPr>
          <w:rFonts w:ascii="Times New Roman" w:hAnsi="Times New Roman" w:cs="Times New Roman"/>
          <w:b/>
          <w:sz w:val="28"/>
          <w:szCs w:val="28"/>
        </w:rPr>
        <w:t xml:space="preserve">про добір на зайняття вакантної посади </w:t>
      </w:r>
    </w:p>
    <w:p w:rsidR="002B28FB" w:rsidRPr="002B28FB" w:rsidRDefault="002B28FB" w:rsidP="00E03C7B">
      <w:pPr>
        <w:spacing w:after="0" w:line="240" w:lineRule="auto"/>
        <w:jc w:val="center"/>
        <w:rPr>
          <w:rFonts w:ascii="Times New Roman" w:hAnsi="Times New Roman" w:cs="Times New Roman"/>
          <w:b/>
          <w:sz w:val="28"/>
          <w:szCs w:val="28"/>
        </w:rPr>
      </w:pPr>
      <w:r w:rsidRPr="002B28FB">
        <w:rPr>
          <w:rFonts w:ascii="Times New Roman" w:hAnsi="Times New Roman" w:cs="Times New Roman"/>
          <w:b/>
          <w:sz w:val="28"/>
          <w:szCs w:val="28"/>
        </w:rPr>
        <w:t>державної служби категорії «В» -  судового розпорядника</w:t>
      </w:r>
    </w:p>
    <w:p w:rsidR="002B28FB" w:rsidRPr="002B28FB" w:rsidRDefault="002B28FB" w:rsidP="00E03C7B">
      <w:pPr>
        <w:spacing w:after="0" w:line="240" w:lineRule="auto"/>
        <w:jc w:val="center"/>
        <w:rPr>
          <w:rFonts w:ascii="Times New Roman" w:hAnsi="Times New Roman" w:cs="Times New Roman"/>
          <w:b/>
          <w:sz w:val="28"/>
          <w:szCs w:val="28"/>
        </w:rPr>
      </w:pPr>
      <w:r w:rsidRPr="002B28FB">
        <w:rPr>
          <w:rFonts w:ascii="Times New Roman" w:hAnsi="Times New Roman" w:cs="Times New Roman"/>
          <w:b/>
          <w:sz w:val="28"/>
          <w:szCs w:val="28"/>
        </w:rPr>
        <w:t xml:space="preserve"> Бродівського районного суду Львівської області</w:t>
      </w:r>
    </w:p>
    <w:p w:rsidR="002B28FB" w:rsidRPr="002B28FB" w:rsidRDefault="00E03C7B" w:rsidP="002B28FB">
      <w:pPr>
        <w:jc w:val="center"/>
        <w:rPr>
          <w:rFonts w:ascii="Times New Roman" w:hAnsi="Times New Roman" w:cs="Times New Roman"/>
          <w:b/>
        </w:rPr>
      </w:pPr>
      <w:r w:rsidRPr="002B28FB">
        <w:rPr>
          <w:rFonts w:ascii="Times New Roman" w:hAnsi="Times New Roman" w:cs="Times New Roman"/>
          <w:b/>
          <w:sz w:val="28"/>
          <w:szCs w:val="28"/>
        </w:rPr>
        <w:t>на період дії карантину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6162"/>
      </w:tblGrid>
      <w:tr w:rsidR="002B28FB" w:rsidRPr="002B28FB" w:rsidTr="00B621E6">
        <w:tc>
          <w:tcPr>
            <w:tcW w:w="9571" w:type="dxa"/>
            <w:gridSpan w:val="2"/>
            <w:tcBorders>
              <w:top w:val="single" w:sz="4" w:space="0" w:color="auto"/>
              <w:left w:val="single" w:sz="4" w:space="0" w:color="auto"/>
              <w:bottom w:val="single" w:sz="4" w:space="0" w:color="auto"/>
              <w:right w:val="single" w:sz="4" w:space="0" w:color="auto"/>
            </w:tcBorders>
            <w:vAlign w:val="center"/>
          </w:tcPr>
          <w:p w:rsidR="002B28FB" w:rsidRPr="002B28FB" w:rsidRDefault="002B28FB" w:rsidP="00B621E6">
            <w:pPr>
              <w:jc w:val="center"/>
              <w:rPr>
                <w:rFonts w:ascii="Times New Roman" w:hAnsi="Times New Roman" w:cs="Times New Roman"/>
                <w:b/>
              </w:rPr>
            </w:pPr>
            <w:r w:rsidRPr="002B28FB">
              <w:rPr>
                <w:rFonts w:ascii="Times New Roman" w:hAnsi="Times New Roman" w:cs="Times New Roman"/>
                <w:b/>
              </w:rPr>
              <w:t>Загальні умови</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sz w:val="24"/>
                <w:szCs w:val="24"/>
              </w:rPr>
            </w:pPr>
            <w:r w:rsidRPr="00DF0BD7">
              <w:rPr>
                <w:rFonts w:ascii="Times New Roman" w:hAnsi="Times New Roman" w:cs="Times New Roman"/>
                <w:sz w:val="24"/>
                <w:szCs w:val="24"/>
              </w:rPr>
              <w:t>Посадові обов’язки</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Здійснює перевірку та забезпечує готовність залу судового засідання чи приміщення, в якому планується проведення виїзного засідання, до слухання справи і доповідає про їх готовність головуючому.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Забезпечує безпечні умови роботи суддям та працівникам апарату суду в залі судового засідання, іншому приміщенні, в разі проведення судом виїзного засідання.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З'ясовує своєчасність направлення заявки-наряду на доставку до суду затриманих осіб, та таких, які перебувають під вартою. Повідомляє голову суду, головуючого про можливу затримку їх доставки.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 урахуванням кількості місць та забезпечення порядку під час судового засідання визначає можливу кількість осіб, що можуть бути присутні в залі судового засідання, та визначає конкретні місця їх розміщення.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Оголошує про вхід і вихід суду та пропонує всім присутнім встати. </w:t>
            </w:r>
          </w:p>
          <w:p w:rsidR="002B28FB" w:rsidRPr="00DF0BD7" w:rsidRDefault="002B28FB" w:rsidP="00B621E6">
            <w:pPr>
              <w:ind w:firstLine="292"/>
              <w:jc w:val="both"/>
              <w:rPr>
                <w:rFonts w:ascii="Times New Roman" w:hAnsi="Times New Roman" w:cs="Times New Roman"/>
                <w:sz w:val="24"/>
                <w:szCs w:val="24"/>
              </w:rPr>
            </w:pPr>
            <w:r w:rsidRPr="00DF0BD7">
              <w:rPr>
                <w:rFonts w:ascii="Times New Roman" w:hAnsi="Times New Roman" w:cs="Times New Roman"/>
                <w:sz w:val="24"/>
                <w:szCs w:val="24"/>
              </w:rPr>
              <w:t xml:space="preserve"> Забезпечує виконання учасниками судового процесу та особами, які є в залі судового засідання, розпоряджень головуючого.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Запрошує, за розпорядженням головуючого, до залу судового засідання свідків, експертів, перекладачів та інших учасників судового процесу.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Виконує розпорядження головуючого про приведення до присяги перекладача, експерта відповідно до законодавства.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Запрошує до залу судового засідання свідків та виконує вказівки головуючого щодо приведення їх до присяги. </w:t>
            </w:r>
          </w:p>
          <w:p w:rsidR="00EC151D"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За вказівкою головуючого під час судового засідання приймає від учасників процесу документи та інші матеріали і передає до суду. </w:t>
            </w:r>
          </w:p>
          <w:p w:rsidR="002B28FB" w:rsidRPr="00DF0BD7" w:rsidRDefault="00EC151D" w:rsidP="00B621E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28FB" w:rsidRPr="00DF0BD7">
              <w:rPr>
                <w:rFonts w:ascii="Times New Roman" w:hAnsi="Times New Roman" w:cs="Times New Roman"/>
                <w:sz w:val="24"/>
                <w:szCs w:val="24"/>
              </w:rPr>
              <w:t xml:space="preserve">Вживає заходів щодо видалення, за розпорядженням головуючого, із залу судового засідання осіб, які проявляють неповагу до суду або порушують громадський порядок.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Звертається до працівників правоохоронних органів з приводу сприяння у підтриманні громадського порядку, затримання та притягнення до адміністративної відповідальності осіб, які проявляють неповагу до суду та порушують громадський порядок.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Забезпечує дотримання вимог процесуального законодавства щодо виключення можливості спілкування допитаних судом свідків з тими, яких суд ще не допитав.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Забезпечує виконання вимог процесуального законодавства щодо проведення закритого судового засідання та вживає заходів до обмеження входу до залу судового засідання сторонніх осіб.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Здійснює в разі необхідності взаємодію із службою судової охорони та органами поліції з питань спільних дій щодо підтримання громадського порядку в приміщенні суду та в залі судового засідання.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Уживає заходів безпеки щодо недопущення виведення з ладу засобів фіксування судового процесу особами, присутніми в залі судового засідання.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Для забезпечення невідкладного розгляду справи з питань, що виникли в процесі її слухання, за розпорядженням головуючого здійснює термінову доставку в установи та організації, а також фізичним особам листів, викликів, інших документів.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При виникненні надзвичайних обставин (пожежа, виявлення вибухонебезпечних предметів, затоплення тощо) повідомляє керівників суду та організовує виклик спеціальних служб. </w:t>
            </w:r>
          </w:p>
          <w:p w:rsidR="002B28FB" w:rsidRPr="00DF0BD7" w:rsidRDefault="002B28FB" w:rsidP="00B621E6">
            <w:pPr>
              <w:jc w:val="both"/>
              <w:rPr>
                <w:rFonts w:ascii="Times New Roman" w:hAnsi="Times New Roman" w:cs="Times New Roman"/>
                <w:b/>
                <w:sz w:val="24"/>
                <w:szCs w:val="24"/>
              </w:rPr>
            </w:pPr>
            <w:r w:rsidRPr="00DF0BD7">
              <w:rPr>
                <w:rFonts w:ascii="Times New Roman" w:hAnsi="Times New Roman" w:cs="Times New Roman"/>
                <w:sz w:val="24"/>
                <w:szCs w:val="24"/>
              </w:rPr>
              <w:t xml:space="preserve">      Виконує інші розпорядження головуючого, доручення голови суду, за наказом голови суду - доручення керівника апарату суду щодо забезпечення належних умов для проведення судового засідання.</w:t>
            </w:r>
            <w:r w:rsidRPr="00DF0BD7">
              <w:rPr>
                <w:rFonts w:ascii="Times New Roman" w:hAnsi="Times New Roman" w:cs="Times New Roman"/>
                <w:b/>
                <w:sz w:val="24"/>
                <w:szCs w:val="24"/>
              </w:rPr>
              <w:t xml:space="preserve"> </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 xml:space="preserve">      Відповідає за належне ведення архіву, виконуючи основні завдання архіваріуса. </w:t>
            </w:r>
          </w:p>
          <w:p w:rsidR="002B28FB" w:rsidRPr="00DF0BD7" w:rsidRDefault="002B28FB" w:rsidP="00EC151D">
            <w:pPr>
              <w:jc w:val="both"/>
              <w:rPr>
                <w:rFonts w:ascii="Times New Roman" w:hAnsi="Times New Roman" w:cs="Times New Roman"/>
                <w:sz w:val="24"/>
                <w:szCs w:val="24"/>
              </w:rPr>
            </w:pPr>
            <w:r w:rsidRPr="00DF0BD7">
              <w:rPr>
                <w:rFonts w:ascii="Times New Roman" w:hAnsi="Times New Roman" w:cs="Times New Roman"/>
                <w:sz w:val="24"/>
                <w:szCs w:val="24"/>
              </w:rPr>
              <w:t xml:space="preserve">      Забезпечує доступ до правосуддя маломо</w:t>
            </w:r>
            <w:r w:rsidR="00EC151D">
              <w:rPr>
                <w:rFonts w:ascii="Times New Roman" w:hAnsi="Times New Roman" w:cs="Times New Roman"/>
                <w:sz w:val="24"/>
                <w:szCs w:val="24"/>
              </w:rPr>
              <w:t>більних та інших груп населення</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sz w:val="24"/>
                <w:szCs w:val="24"/>
              </w:rPr>
            </w:pPr>
            <w:r w:rsidRPr="00DF0BD7">
              <w:rPr>
                <w:rFonts w:ascii="Times New Roman" w:hAnsi="Times New Roman" w:cs="Times New Roman"/>
                <w:sz w:val="24"/>
                <w:szCs w:val="24"/>
              </w:rPr>
              <w:lastRenderedPageBreak/>
              <w:t>Умови оплати праці</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Посадовий оклад – 4394 грн.</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Надбавка до посадового окладу за ранг державного службовця відповідно до постанови КМУ від 18.01.2017  № 15 зі змінами;</w:t>
            </w: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Надбавки та доплати відповідно до ст. 52 Закону України «Про державну службу».</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EC151D" w:rsidRDefault="00EC151D" w:rsidP="00B621E6">
            <w:pPr>
              <w:jc w:val="center"/>
              <w:rPr>
                <w:rFonts w:ascii="Times New Roman" w:hAnsi="Times New Roman" w:cs="Times New Roman"/>
                <w:sz w:val="24"/>
                <w:szCs w:val="24"/>
              </w:rPr>
            </w:pPr>
          </w:p>
          <w:p w:rsidR="002B28FB" w:rsidRPr="00DF0BD7" w:rsidRDefault="002B28FB" w:rsidP="00B621E6">
            <w:pPr>
              <w:jc w:val="center"/>
              <w:rPr>
                <w:rFonts w:ascii="Times New Roman" w:hAnsi="Times New Roman" w:cs="Times New Roman"/>
                <w:sz w:val="24"/>
                <w:szCs w:val="24"/>
              </w:rPr>
            </w:pPr>
            <w:r w:rsidRPr="00DF0BD7">
              <w:rPr>
                <w:rFonts w:ascii="Times New Roman" w:hAnsi="Times New Roman" w:cs="Times New Roman"/>
                <w:sz w:val="24"/>
                <w:szCs w:val="24"/>
              </w:rPr>
              <w:t>Інформація про строковість чи безстроковість призначення на посаду</w:t>
            </w:r>
          </w:p>
        </w:tc>
        <w:tc>
          <w:tcPr>
            <w:tcW w:w="6319" w:type="dxa"/>
            <w:tcBorders>
              <w:top w:val="single" w:sz="4" w:space="0" w:color="auto"/>
              <w:left w:val="single" w:sz="4" w:space="0" w:color="auto"/>
              <w:bottom w:val="single" w:sz="4" w:space="0" w:color="auto"/>
              <w:right w:val="single" w:sz="4" w:space="0" w:color="auto"/>
            </w:tcBorders>
          </w:tcPr>
          <w:p w:rsidR="00EC151D" w:rsidRDefault="002B28FB" w:rsidP="00B621E6">
            <w:pPr>
              <w:ind w:hanging="133"/>
              <w:jc w:val="both"/>
              <w:rPr>
                <w:rFonts w:ascii="Times New Roman" w:hAnsi="Times New Roman" w:cs="Times New Roman"/>
                <w:sz w:val="24"/>
                <w:szCs w:val="24"/>
              </w:rPr>
            </w:pPr>
            <w:r w:rsidRPr="00DF0BD7">
              <w:rPr>
                <w:rFonts w:ascii="Times New Roman" w:hAnsi="Times New Roman" w:cs="Times New Roman"/>
                <w:sz w:val="24"/>
                <w:szCs w:val="24"/>
              </w:rPr>
              <w:t xml:space="preserve">  </w:t>
            </w:r>
          </w:p>
          <w:p w:rsidR="002B28FB" w:rsidRPr="00DF0BD7" w:rsidRDefault="00EC151D" w:rsidP="00EC151D">
            <w:pPr>
              <w:ind w:hanging="133"/>
              <w:jc w:val="both"/>
              <w:rPr>
                <w:rFonts w:ascii="Times New Roman" w:hAnsi="Times New Roman" w:cs="Times New Roman"/>
                <w:sz w:val="24"/>
                <w:szCs w:val="24"/>
              </w:rPr>
            </w:pPr>
            <w:r>
              <w:rPr>
                <w:rFonts w:ascii="Times New Roman" w:hAnsi="Times New Roman" w:cs="Times New Roman"/>
                <w:sz w:val="24"/>
                <w:szCs w:val="24"/>
              </w:rPr>
              <w:t xml:space="preserve">  </w:t>
            </w:r>
            <w:r w:rsidR="002B28FB" w:rsidRPr="00DF0BD7">
              <w:rPr>
                <w:rFonts w:ascii="Times New Roman" w:hAnsi="Times New Roman" w:cs="Times New Roman"/>
                <w:sz w:val="24"/>
                <w:szCs w:val="24"/>
              </w:rPr>
              <w:t xml:space="preserve">На період перебування у відпустці для догляду за </w:t>
            </w:r>
            <w:r w:rsidR="004B4EF8">
              <w:rPr>
                <w:rFonts w:ascii="Times New Roman" w:hAnsi="Times New Roman" w:cs="Times New Roman"/>
                <w:sz w:val="24"/>
                <w:szCs w:val="24"/>
              </w:rPr>
              <w:t>дитиною до досягнення нею три</w:t>
            </w:r>
            <w:r w:rsidR="002B28FB" w:rsidRPr="00DF0BD7">
              <w:rPr>
                <w:rFonts w:ascii="Times New Roman" w:hAnsi="Times New Roman" w:cs="Times New Roman"/>
                <w:sz w:val="24"/>
                <w:szCs w:val="24"/>
              </w:rPr>
              <w:t xml:space="preserve">річного віку основного працівника, з укладення контракту про проходження державної служби на період дії  карантину, установленого з метою запобігання поширенню на території України гострої респіраторної хвороби </w:t>
            </w:r>
            <w:r w:rsidR="002B28FB" w:rsidRPr="00DF0BD7">
              <w:rPr>
                <w:rFonts w:ascii="Times New Roman" w:hAnsi="Times New Roman" w:cs="Times New Roman"/>
                <w:sz w:val="24"/>
                <w:szCs w:val="24"/>
                <w:lang w:val="en-US"/>
              </w:rPr>
              <w:t>COVID</w:t>
            </w:r>
            <w:r w:rsidR="002B28FB" w:rsidRPr="00DF0BD7">
              <w:rPr>
                <w:rFonts w:ascii="Times New Roman" w:hAnsi="Times New Roman" w:cs="Times New Roman"/>
                <w:sz w:val="24"/>
                <w:szCs w:val="24"/>
              </w:rPr>
              <w:t xml:space="preserve">-19, спричиненої коронавірусом </w:t>
            </w:r>
            <w:r w:rsidR="002B28FB" w:rsidRPr="00DF0BD7">
              <w:rPr>
                <w:rFonts w:ascii="Times New Roman" w:hAnsi="Times New Roman" w:cs="Times New Roman"/>
                <w:sz w:val="24"/>
                <w:szCs w:val="24"/>
                <w:lang w:val="en-US"/>
              </w:rPr>
              <w:t>SARS</w:t>
            </w:r>
            <w:r w:rsidR="002B28FB" w:rsidRPr="00DF0BD7">
              <w:rPr>
                <w:rFonts w:ascii="Times New Roman" w:hAnsi="Times New Roman" w:cs="Times New Roman"/>
                <w:sz w:val="24"/>
                <w:szCs w:val="24"/>
              </w:rPr>
              <w:t>-</w:t>
            </w:r>
            <w:r w:rsidR="002B28FB" w:rsidRPr="00DF0BD7">
              <w:rPr>
                <w:rFonts w:ascii="Times New Roman" w:hAnsi="Times New Roman" w:cs="Times New Roman"/>
                <w:sz w:val="24"/>
                <w:szCs w:val="24"/>
                <w:lang w:val="en-US"/>
              </w:rPr>
              <w:t>COV</w:t>
            </w:r>
            <w:r w:rsidR="002B28FB" w:rsidRPr="00DF0BD7">
              <w:rPr>
                <w:rFonts w:ascii="Times New Roman" w:hAnsi="Times New Roman" w:cs="Times New Roman"/>
                <w:sz w:val="24"/>
                <w:szCs w:val="24"/>
              </w:rPr>
              <w:t xml:space="preserve">-2 та до дня визначення переможця конкурсу </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sz w:val="24"/>
                <w:szCs w:val="24"/>
              </w:rPr>
            </w:pPr>
            <w:r w:rsidRPr="00DF0BD7">
              <w:rPr>
                <w:rFonts w:ascii="Times New Roman" w:hAnsi="Times New Roman" w:cs="Times New Roman"/>
                <w:sz w:val="24"/>
                <w:szCs w:val="24"/>
              </w:rPr>
              <w:t>Перелік інформації, необхідної для участі в конкурсі, та строк її подання</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pStyle w:val="rvps2"/>
              <w:shd w:val="clear" w:color="auto" w:fill="FFFFFF"/>
              <w:spacing w:before="0" w:beforeAutospacing="0" w:after="0" w:afterAutospacing="0"/>
              <w:jc w:val="both"/>
              <w:rPr>
                <w:color w:val="000000"/>
              </w:rPr>
            </w:pPr>
            <w:r w:rsidRPr="00DF0BD7">
              <w:rPr>
                <w:color w:val="000000"/>
              </w:rPr>
              <w:t>Особа,</w:t>
            </w:r>
            <w:r w:rsidR="00E03C7B" w:rsidRPr="00DF0BD7">
              <w:rPr>
                <w:color w:val="000000"/>
              </w:rPr>
              <w:t xml:space="preserve"> </w:t>
            </w:r>
            <w:r w:rsidRPr="00DF0BD7">
              <w:rPr>
                <w:color w:val="000000"/>
              </w:rPr>
              <w:t>яка бажає взяти участь у доборі з призначення на вакантну посаду, подає таку інформацію через Єдиний  портал вакансій державної служби:</w:t>
            </w:r>
          </w:p>
          <w:p w:rsidR="002B28FB" w:rsidRPr="00DF0BD7" w:rsidRDefault="002B28FB" w:rsidP="00B621E6">
            <w:pPr>
              <w:pStyle w:val="rvps2"/>
              <w:shd w:val="clear" w:color="auto" w:fill="FFFFFF"/>
              <w:spacing w:before="0" w:beforeAutospacing="0" w:after="0" w:afterAutospacing="0"/>
              <w:jc w:val="both"/>
              <w:rPr>
                <w:color w:val="000000"/>
              </w:rPr>
            </w:pPr>
            <w:r w:rsidRPr="00DF0BD7">
              <w:rPr>
                <w:color w:val="000000"/>
              </w:rPr>
              <w:t>1) заяву із зазначенням основних мотивів щодо зайняття посади за формою згідно з </w:t>
            </w:r>
            <w:hyperlink r:id="rId4" w:anchor="n199" w:history="1">
              <w:r w:rsidRPr="00DF0BD7">
                <w:rPr>
                  <w:rStyle w:val="a3"/>
                  <w:color w:val="000000"/>
                </w:rPr>
                <w:t>додатком 1</w:t>
              </w:r>
            </w:hyperlink>
            <w:r w:rsidRPr="00DF0BD7">
              <w:rPr>
                <w:color w:val="000000"/>
              </w:rPr>
              <w:t>;</w:t>
            </w:r>
          </w:p>
          <w:p w:rsidR="002B28FB" w:rsidRPr="00DF0BD7" w:rsidRDefault="002B28FB" w:rsidP="00B621E6">
            <w:pPr>
              <w:pStyle w:val="rvps2"/>
              <w:shd w:val="clear" w:color="auto" w:fill="FFFFFF"/>
              <w:spacing w:before="0" w:beforeAutospacing="0" w:after="0" w:afterAutospacing="0"/>
              <w:jc w:val="both"/>
              <w:rPr>
                <w:color w:val="000000"/>
              </w:rPr>
            </w:pPr>
            <w:bookmarkStart w:id="0" w:name="n1171"/>
            <w:bookmarkEnd w:id="0"/>
            <w:r w:rsidRPr="00DF0BD7">
              <w:rPr>
                <w:color w:val="000000"/>
              </w:rPr>
              <w:t>2) резюме за формою згідно з </w:t>
            </w:r>
            <w:hyperlink r:id="rId5" w:anchor="n1039" w:history="1">
              <w:r w:rsidRPr="00DF0BD7">
                <w:rPr>
                  <w:rStyle w:val="a3"/>
                  <w:color w:val="000000"/>
                </w:rPr>
                <w:t>додатком 2</w:t>
              </w:r>
            </w:hyperlink>
            <w:r w:rsidRPr="00DF0BD7">
              <w:rPr>
                <w:color w:val="000000"/>
              </w:rPr>
              <w:t>;</w:t>
            </w:r>
          </w:p>
          <w:p w:rsidR="002B28FB" w:rsidRPr="00DF0BD7" w:rsidRDefault="002B28FB" w:rsidP="00B621E6">
            <w:pPr>
              <w:pStyle w:val="rvps2"/>
              <w:shd w:val="clear" w:color="auto" w:fill="FFFFFF"/>
              <w:spacing w:before="0" w:beforeAutospacing="0" w:after="0" w:afterAutospacing="0"/>
              <w:jc w:val="both"/>
              <w:rPr>
                <w:color w:val="000000"/>
              </w:rPr>
            </w:pPr>
            <w:r w:rsidRPr="00DF0BD7">
              <w:rPr>
                <w:color w:val="000000"/>
              </w:rPr>
              <w:t>3) заяву, в якій повідомляє що до неї не застосовуються заборони, визначені ч.3 та 4 ст.1 ЗУ Про очищення влади та надає згоду на проходження перевірки та на оприлюднення відомостей стосовно неї відповідно до Закону.</w:t>
            </w:r>
          </w:p>
          <w:p w:rsidR="002B28FB" w:rsidRPr="00DF0BD7" w:rsidRDefault="002B28FB" w:rsidP="00B621E6">
            <w:pPr>
              <w:pStyle w:val="rvps2"/>
              <w:shd w:val="clear" w:color="auto" w:fill="FFFFFF"/>
              <w:spacing w:before="0" w:beforeAutospacing="0" w:after="0" w:afterAutospacing="0"/>
              <w:jc w:val="both"/>
              <w:rPr>
                <w:color w:val="000000"/>
              </w:rPr>
            </w:pPr>
            <w:r w:rsidRPr="00DF0BD7">
              <w:rPr>
                <w:color w:val="000000"/>
              </w:rPr>
              <w:t xml:space="preserve">     Додатки до заяви не є обов’язковими для подання. </w:t>
            </w:r>
          </w:p>
          <w:p w:rsidR="002B28FB" w:rsidRPr="00DF0BD7" w:rsidRDefault="002B28FB" w:rsidP="00B621E6">
            <w:pPr>
              <w:pStyle w:val="rvps2"/>
              <w:shd w:val="clear" w:color="auto" w:fill="FFFFFF"/>
              <w:spacing w:before="0" w:beforeAutospacing="0" w:after="0" w:afterAutospacing="0"/>
              <w:jc w:val="both"/>
              <w:rPr>
                <w:color w:val="000000"/>
              </w:rPr>
            </w:pPr>
            <w:r w:rsidRPr="00DF0BD7">
              <w:rPr>
                <w:color w:val="000000"/>
              </w:rPr>
              <w:t xml:space="preserve">     Особа, яка виявила бажання взяти участь у доборі з призначення на вакантну посаду, може подавати додаткову інформацію, яка підтверджує відповідність встановленим в оголошенні вимогам, зокрема стосовно досвіду роботи, професійних компетентностей, репутації (характеристики).</w:t>
            </w:r>
          </w:p>
          <w:p w:rsidR="002B28FB" w:rsidRDefault="002B28FB" w:rsidP="00DF0BD7">
            <w:pPr>
              <w:pStyle w:val="rvps2"/>
              <w:shd w:val="clear" w:color="auto" w:fill="FFFFFF"/>
              <w:spacing w:before="0" w:beforeAutospacing="0" w:after="0" w:afterAutospacing="0"/>
              <w:jc w:val="both"/>
            </w:pPr>
            <w:r w:rsidRPr="00DF0BD7">
              <w:t xml:space="preserve">      </w:t>
            </w:r>
            <w:r w:rsidRPr="00EC151D">
              <w:t xml:space="preserve">Інформація подається у строк з 05 лютого 2021 року до </w:t>
            </w:r>
            <w:r w:rsidR="00DF0BD7" w:rsidRPr="00EC151D">
              <w:t>17 год. 00</w:t>
            </w:r>
            <w:r w:rsidRPr="00EC151D">
              <w:t xml:space="preserve"> хв. 11.02.2021 включно</w:t>
            </w:r>
          </w:p>
          <w:p w:rsidR="00700367" w:rsidRPr="00EC151D" w:rsidRDefault="00700367" w:rsidP="00DF0BD7">
            <w:pPr>
              <w:pStyle w:val="rvps2"/>
              <w:shd w:val="clear" w:color="auto" w:fill="FFFFFF"/>
              <w:spacing w:before="0" w:beforeAutospacing="0" w:after="0" w:afterAutospacing="0"/>
              <w:jc w:val="both"/>
            </w:pP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sz w:val="24"/>
                <w:szCs w:val="24"/>
              </w:rPr>
            </w:pPr>
            <w:r w:rsidRPr="00DF0BD7">
              <w:rPr>
                <w:rFonts w:ascii="Times New Roman" w:hAnsi="Times New Roman" w:cs="Times New Roman"/>
                <w:sz w:val="24"/>
                <w:szCs w:val="24"/>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319" w:type="dxa"/>
            <w:tcBorders>
              <w:top w:val="single" w:sz="4" w:space="0" w:color="auto"/>
              <w:left w:val="single" w:sz="4" w:space="0" w:color="auto"/>
              <w:bottom w:val="single" w:sz="4" w:space="0" w:color="auto"/>
              <w:right w:val="single" w:sz="4" w:space="0" w:color="auto"/>
            </w:tcBorders>
          </w:tcPr>
          <w:p w:rsidR="00700367" w:rsidRDefault="00700367" w:rsidP="00DF0BD7">
            <w:pPr>
              <w:spacing w:after="0" w:line="240" w:lineRule="auto"/>
              <w:rPr>
                <w:rFonts w:ascii="Times New Roman" w:hAnsi="Times New Roman" w:cs="Times New Roman"/>
                <w:sz w:val="24"/>
                <w:szCs w:val="24"/>
              </w:rPr>
            </w:pPr>
          </w:p>
          <w:p w:rsidR="002B28FB" w:rsidRPr="00DF0BD7" w:rsidRDefault="002B28FB" w:rsidP="00DF0BD7">
            <w:pPr>
              <w:spacing w:after="0" w:line="240" w:lineRule="auto"/>
              <w:rPr>
                <w:rFonts w:ascii="Times New Roman" w:hAnsi="Times New Roman" w:cs="Times New Roman"/>
                <w:sz w:val="24"/>
                <w:szCs w:val="24"/>
              </w:rPr>
            </w:pPr>
            <w:r w:rsidRPr="00DF0BD7">
              <w:rPr>
                <w:rFonts w:ascii="Times New Roman" w:hAnsi="Times New Roman" w:cs="Times New Roman"/>
                <w:sz w:val="24"/>
                <w:szCs w:val="24"/>
              </w:rPr>
              <w:t>Заступник керівника апарату Бродівського районного суду Львівської області</w:t>
            </w:r>
          </w:p>
          <w:p w:rsidR="002B28FB" w:rsidRPr="00DF0BD7" w:rsidRDefault="002B28FB" w:rsidP="00DF0BD7">
            <w:pPr>
              <w:spacing w:after="0" w:line="240" w:lineRule="auto"/>
              <w:rPr>
                <w:rFonts w:ascii="Times New Roman" w:hAnsi="Times New Roman" w:cs="Times New Roman"/>
                <w:sz w:val="24"/>
                <w:szCs w:val="24"/>
              </w:rPr>
            </w:pPr>
            <w:r w:rsidRPr="00DF0BD7">
              <w:rPr>
                <w:rFonts w:ascii="Times New Roman" w:hAnsi="Times New Roman" w:cs="Times New Roman"/>
                <w:sz w:val="24"/>
                <w:szCs w:val="24"/>
              </w:rPr>
              <w:t>Алла Королишин</w:t>
            </w:r>
          </w:p>
          <w:p w:rsidR="002B28FB" w:rsidRPr="00DF0BD7" w:rsidRDefault="002B28FB" w:rsidP="00DF0BD7">
            <w:pPr>
              <w:spacing w:after="0" w:line="240" w:lineRule="auto"/>
              <w:rPr>
                <w:rFonts w:ascii="Times New Roman" w:hAnsi="Times New Roman" w:cs="Times New Roman"/>
                <w:sz w:val="24"/>
                <w:szCs w:val="24"/>
              </w:rPr>
            </w:pPr>
            <w:proofErr w:type="spellStart"/>
            <w:r w:rsidRPr="00DF0BD7">
              <w:rPr>
                <w:rFonts w:ascii="Times New Roman" w:hAnsi="Times New Roman" w:cs="Times New Roman"/>
                <w:sz w:val="24"/>
                <w:szCs w:val="24"/>
              </w:rPr>
              <w:t>Тел</w:t>
            </w:r>
            <w:proofErr w:type="spellEnd"/>
            <w:r w:rsidRPr="00DF0BD7">
              <w:rPr>
                <w:rFonts w:ascii="Times New Roman" w:hAnsi="Times New Roman" w:cs="Times New Roman"/>
                <w:sz w:val="24"/>
                <w:szCs w:val="24"/>
              </w:rPr>
              <w:t>.(03266) 4-20-02</w:t>
            </w:r>
          </w:p>
          <w:p w:rsidR="002B28FB" w:rsidRPr="00DF0BD7" w:rsidRDefault="002B28FB" w:rsidP="00DF0BD7">
            <w:pPr>
              <w:spacing w:after="0" w:line="240" w:lineRule="auto"/>
              <w:rPr>
                <w:rFonts w:ascii="Times New Roman" w:hAnsi="Times New Roman" w:cs="Times New Roman"/>
                <w:sz w:val="24"/>
                <w:szCs w:val="24"/>
              </w:rPr>
            </w:pPr>
            <w:proofErr w:type="spellStart"/>
            <w:r w:rsidRPr="00DF0BD7">
              <w:rPr>
                <w:rFonts w:ascii="Times New Roman" w:hAnsi="Times New Roman" w:cs="Times New Roman"/>
                <w:sz w:val="24"/>
                <w:szCs w:val="24"/>
              </w:rPr>
              <w:t>Email</w:t>
            </w:r>
            <w:proofErr w:type="spellEnd"/>
            <w:r w:rsidRPr="00DF0BD7">
              <w:rPr>
                <w:rFonts w:ascii="Times New Roman" w:hAnsi="Times New Roman" w:cs="Times New Roman"/>
                <w:sz w:val="24"/>
                <w:szCs w:val="24"/>
              </w:rPr>
              <w:t>: іnbox@</w:t>
            </w:r>
            <w:r w:rsidRPr="00DF0BD7">
              <w:rPr>
                <w:rFonts w:ascii="Times New Roman" w:hAnsi="Times New Roman" w:cs="Times New Roman"/>
                <w:sz w:val="24"/>
                <w:szCs w:val="24"/>
                <w:lang w:val="en-US"/>
              </w:rPr>
              <w:t>bd</w:t>
            </w:r>
            <w:r w:rsidRPr="00DF0BD7">
              <w:rPr>
                <w:rFonts w:ascii="Times New Roman" w:hAnsi="Times New Roman" w:cs="Times New Roman"/>
                <w:sz w:val="24"/>
                <w:szCs w:val="24"/>
              </w:rPr>
              <w:t>.lv.court.gov.ua</w:t>
            </w:r>
          </w:p>
        </w:tc>
      </w:tr>
      <w:tr w:rsidR="002B28FB" w:rsidRPr="002B28FB" w:rsidTr="00B621E6">
        <w:tc>
          <w:tcPr>
            <w:tcW w:w="9571" w:type="dxa"/>
            <w:gridSpan w:val="2"/>
            <w:tcBorders>
              <w:top w:val="single" w:sz="4" w:space="0" w:color="auto"/>
              <w:left w:val="single" w:sz="4" w:space="0" w:color="auto"/>
              <w:bottom w:val="single" w:sz="4" w:space="0" w:color="auto"/>
              <w:right w:val="single" w:sz="4" w:space="0" w:color="auto"/>
            </w:tcBorders>
          </w:tcPr>
          <w:p w:rsidR="00700367" w:rsidRDefault="00700367" w:rsidP="00B621E6">
            <w:pPr>
              <w:jc w:val="center"/>
              <w:rPr>
                <w:rFonts w:ascii="Times New Roman" w:hAnsi="Times New Roman" w:cs="Times New Roman"/>
                <w:b/>
                <w:sz w:val="24"/>
                <w:szCs w:val="24"/>
              </w:rPr>
            </w:pPr>
          </w:p>
          <w:p w:rsidR="002B28FB" w:rsidRPr="00DF0BD7" w:rsidRDefault="002B28FB" w:rsidP="00B621E6">
            <w:pPr>
              <w:jc w:val="center"/>
              <w:rPr>
                <w:rFonts w:ascii="Times New Roman" w:hAnsi="Times New Roman" w:cs="Times New Roman"/>
                <w:b/>
                <w:sz w:val="24"/>
                <w:szCs w:val="24"/>
              </w:rPr>
            </w:pPr>
            <w:r w:rsidRPr="00DF0BD7">
              <w:rPr>
                <w:rFonts w:ascii="Times New Roman" w:hAnsi="Times New Roman" w:cs="Times New Roman"/>
                <w:b/>
                <w:sz w:val="24"/>
                <w:szCs w:val="24"/>
              </w:rPr>
              <w:t xml:space="preserve">Кваліфікаційні Вимоги </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sz w:val="24"/>
                <w:szCs w:val="24"/>
              </w:rPr>
            </w:pPr>
            <w:r w:rsidRPr="00DF0BD7">
              <w:rPr>
                <w:rFonts w:ascii="Times New Roman" w:hAnsi="Times New Roman" w:cs="Times New Roman"/>
                <w:sz w:val="24"/>
                <w:szCs w:val="24"/>
              </w:rPr>
              <w:t>Освіта</w:t>
            </w:r>
          </w:p>
        </w:tc>
        <w:tc>
          <w:tcPr>
            <w:tcW w:w="6319" w:type="dxa"/>
            <w:tcBorders>
              <w:top w:val="single" w:sz="4" w:space="0" w:color="auto"/>
              <w:left w:val="single" w:sz="4" w:space="0" w:color="auto"/>
              <w:bottom w:val="single" w:sz="4" w:space="0" w:color="auto"/>
              <w:right w:val="single" w:sz="4" w:space="0" w:color="auto"/>
            </w:tcBorders>
          </w:tcPr>
          <w:p w:rsidR="00700367" w:rsidRDefault="00700367" w:rsidP="00B621E6">
            <w:pPr>
              <w:jc w:val="both"/>
              <w:rPr>
                <w:rFonts w:ascii="Times New Roman" w:hAnsi="Times New Roman" w:cs="Times New Roman"/>
                <w:sz w:val="24"/>
                <w:szCs w:val="24"/>
                <w:lang w:eastAsia="uk-UA"/>
              </w:rPr>
            </w:pPr>
          </w:p>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lang w:eastAsia="uk-UA"/>
              </w:rPr>
              <w:t>Вища освіта за спеціальністю "Правознавство" або "Правоохоронна діяльність" з освітньо-кваліфікаційним рівнем не нижче молодшого спеціаліста</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sz w:val="24"/>
                <w:szCs w:val="24"/>
              </w:rPr>
            </w:pPr>
            <w:r w:rsidRPr="00DF0BD7">
              <w:rPr>
                <w:rFonts w:ascii="Times New Roman" w:hAnsi="Times New Roman" w:cs="Times New Roman"/>
                <w:sz w:val="24"/>
                <w:szCs w:val="24"/>
              </w:rPr>
              <w:t>Досвід роботи</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rPr>
                <w:rFonts w:ascii="Times New Roman" w:hAnsi="Times New Roman" w:cs="Times New Roman"/>
                <w:sz w:val="24"/>
                <w:szCs w:val="24"/>
              </w:rPr>
            </w:pPr>
            <w:r w:rsidRPr="00DF0BD7">
              <w:rPr>
                <w:rFonts w:ascii="Times New Roman" w:hAnsi="Times New Roman" w:cs="Times New Roman"/>
                <w:sz w:val="24"/>
                <w:szCs w:val="24"/>
              </w:rPr>
              <w:t xml:space="preserve">Без вимог до досвіду роботи </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sz w:val="24"/>
                <w:szCs w:val="24"/>
              </w:rPr>
            </w:pPr>
            <w:r w:rsidRPr="00DF0BD7">
              <w:rPr>
                <w:rFonts w:ascii="Times New Roman" w:hAnsi="Times New Roman" w:cs="Times New Roman"/>
                <w:sz w:val="24"/>
                <w:szCs w:val="24"/>
              </w:rPr>
              <w:t>Володіння державною мовою</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rPr>
                <w:rFonts w:ascii="Times New Roman" w:hAnsi="Times New Roman" w:cs="Times New Roman"/>
                <w:sz w:val="24"/>
                <w:szCs w:val="24"/>
              </w:rPr>
            </w:pPr>
            <w:r w:rsidRPr="00DF0BD7">
              <w:rPr>
                <w:rFonts w:ascii="Times New Roman" w:hAnsi="Times New Roman" w:cs="Times New Roman"/>
                <w:sz w:val="24"/>
                <w:szCs w:val="24"/>
              </w:rPr>
              <w:t xml:space="preserve">Вільне володіння державною мовою </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EC151D" w:rsidRDefault="00EC151D" w:rsidP="00B621E6">
            <w:pPr>
              <w:rPr>
                <w:rFonts w:ascii="Times New Roman" w:hAnsi="Times New Roman" w:cs="Times New Roman"/>
                <w:sz w:val="24"/>
                <w:szCs w:val="24"/>
              </w:rPr>
            </w:pPr>
          </w:p>
          <w:p w:rsidR="002B28FB" w:rsidRPr="00DF0BD7" w:rsidRDefault="002B28FB" w:rsidP="00B621E6">
            <w:pPr>
              <w:rPr>
                <w:rFonts w:ascii="Times New Roman" w:hAnsi="Times New Roman" w:cs="Times New Roman"/>
                <w:sz w:val="24"/>
                <w:szCs w:val="24"/>
              </w:rPr>
            </w:pPr>
            <w:r w:rsidRPr="00DF0BD7">
              <w:rPr>
                <w:rFonts w:ascii="Times New Roman" w:hAnsi="Times New Roman" w:cs="Times New Roman"/>
                <w:sz w:val="24"/>
                <w:szCs w:val="24"/>
              </w:rPr>
              <w:t>Володіння іноземною мовою</w:t>
            </w:r>
          </w:p>
        </w:tc>
        <w:tc>
          <w:tcPr>
            <w:tcW w:w="6319" w:type="dxa"/>
            <w:tcBorders>
              <w:top w:val="single" w:sz="4" w:space="0" w:color="auto"/>
              <w:left w:val="single" w:sz="4" w:space="0" w:color="auto"/>
              <w:bottom w:val="single" w:sz="4" w:space="0" w:color="auto"/>
              <w:right w:val="single" w:sz="4" w:space="0" w:color="auto"/>
            </w:tcBorders>
          </w:tcPr>
          <w:p w:rsidR="00EC151D" w:rsidRDefault="00EC151D" w:rsidP="00B621E6">
            <w:pPr>
              <w:rPr>
                <w:rFonts w:ascii="Times New Roman" w:hAnsi="Times New Roman" w:cs="Times New Roman"/>
                <w:sz w:val="24"/>
                <w:szCs w:val="24"/>
              </w:rPr>
            </w:pPr>
          </w:p>
          <w:p w:rsidR="002B28FB" w:rsidRPr="00DF0BD7" w:rsidRDefault="002B28FB" w:rsidP="00B621E6">
            <w:pPr>
              <w:rPr>
                <w:rFonts w:ascii="Times New Roman" w:hAnsi="Times New Roman" w:cs="Times New Roman"/>
                <w:sz w:val="24"/>
                <w:szCs w:val="24"/>
              </w:rPr>
            </w:pPr>
            <w:r w:rsidRPr="00DF0BD7">
              <w:rPr>
                <w:rFonts w:ascii="Times New Roman" w:hAnsi="Times New Roman" w:cs="Times New Roman"/>
                <w:sz w:val="24"/>
                <w:szCs w:val="24"/>
              </w:rPr>
              <w:t>Не потребує</w:t>
            </w:r>
          </w:p>
        </w:tc>
      </w:tr>
      <w:tr w:rsidR="002B28FB" w:rsidRPr="002B28FB" w:rsidTr="00B621E6">
        <w:tc>
          <w:tcPr>
            <w:tcW w:w="9571" w:type="dxa"/>
            <w:gridSpan w:val="2"/>
            <w:tcBorders>
              <w:top w:val="single" w:sz="4" w:space="0" w:color="auto"/>
              <w:left w:val="single" w:sz="4" w:space="0" w:color="auto"/>
              <w:bottom w:val="single" w:sz="4" w:space="0" w:color="auto"/>
              <w:right w:val="single" w:sz="4" w:space="0" w:color="auto"/>
            </w:tcBorders>
          </w:tcPr>
          <w:p w:rsidR="00700367" w:rsidRDefault="00700367" w:rsidP="00700367">
            <w:pPr>
              <w:rPr>
                <w:rFonts w:ascii="Times New Roman" w:hAnsi="Times New Roman" w:cs="Times New Roman"/>
                <w:b/>
                <w:sz w:val="24"/>
                <w:szCs w:val="24"/>
              </w:rPr>
            </w:pPr>
          </w:p>
          <w:p w:rsidR="002B28FB" w:rsidRPr="00DF0BD7" w:rsidRDefault="002B28FB" w:rsidP="00B621E6">
            <w:pPr>
              <w:jc w:val="center"/>
              <w:rPr>
                <w:rFonts w:ascii="Times New Roman" w:hAnsi="Times New Roman" w:cs="Times New Roman"/>
                <w:b/>
                <w:sz w:val="24"/>
                <w:szCs w:val="24"/>
              </w:rPr>
            </w:pPr>
            <w:r w:rsidRPr="00DF0BD7">
              <w:rPr>
                <w:rFonts w:ascii="Times New Roman" w:hAnsi="Times New Roman" w:cs="Times New Roman"/>
                <w:b/>
                <w:sz w:val="24"/>
                <w:szCs w:val="24"/>
              </w:rPr>
              <w:t>Вимоги до компетентності</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EC151D" w:rsidRDefault="00EC151D" w:rsidP="00B621E6">
            <w:pPr>
              <w:jc w:val="center"/>
              <w:rPr>
                <w:rFonts w:ascii="Times New Roman" w:hAnsi="Times New Roman" w:cs="Times New Roman"/>
                <w:b/>
                <w:sz w:val="24"/>
                <w:szCs w:val="24"/>
              </w:rPr>
            </w:pPr>
          </w:p>
          <w:p w:rsidR="002B28FB" w:rsidRPr="00DF0BD7" w:rsidRDefault="002B28FB" w:rsidP="00B621E6">
            <w:pPr>
              <w:jc w:val="center"/>
              <w:rPr>
                <w:rFonts w:ascii="Times New Roman" w:hAnsi="Times New Roman" w:cs="Times New Roman"/>
                <w:b/>
                <w:sz w:val="24"/>
                <w:szCs w:val="24"/>
              </w:rPr>
            </w:pPr>
            <w:r w:rsidRPr="00DF0BD7">
              <w:rPr>
                <w:rFonts w:ascii="Times New Roman" w:hAnsi="Times New Roman" w:cs="Times New Roman"/>
                <w:b/>
                <w:sz w:val="24"/>
                <w:szCs w:val="24"/>
              </w:rPr>
              <w:t>вимога</w:t>
            </w:r>
          </w:p>
        </w:tc>
        <w:tc>
          <w:tcPr>
            <w:tcW w:w="6319" w:type="dxa"/>
            <w:tcBorders>
              <w:top w:val="single" w:sz="4" w:space="0" w:color="auto"/>
              <w:left w:val="single" w:sz="4" w:space="0" w:color="auto"/>
              <w:bottom w:val="single" w:sz="4" w:space="0" w:color="auto"/>
              <w:right w:val="single" w:sz="4" w:space="0" w:color="auto"/>
            </w:tcBorders>
          </w:tcPr>
          <w:p w:rsidR="00EC151D" w:rsidRDefault="00EC151D" w:rsidP="00B621E6">
            <w:pPr>
              <w:jc w:val="center"/>
              <w:rPr>
                <w:rFonts w:ascii="Times New Roman" w:hAnsi="Times New Roman" w:cs="Times New Roman"/>
                <w:b/>
                <w:sz w:val="24"/>
                <w:szCs w:val="24"/>
              </w:rPr>
            </w:pPr>
          </w:p>
          <w:p w:rsidR="002B28FB" w:rsidRPr="00DF0BD7" w:rsidRDefault="002B28FB" w:rsidP="00B621E6">
            <w:pPr>
              <w:jc w:val="center"/>
              <w:rPr>
                <w:rFonts w:ascii="Times New Roman" w:hAnsi="Times New Roman" w:cs="Times New Roman"/>
                <w:b/>
                <w:sz w:val="24"/>
                <w:szCs w:val="24"/>
              </w:rPr>
            </w:pPr>
            <w:r w:rsidRPr="00DF0BD7">
              <w:rPr>
                <w:rFonts w:ascii="Times New Roman" w:hAnsi="Times New Roman" w:cs="Times New Roman"/>
                <w:b/>
                <w:sz w:val="24"/>
                <w:szCs w:val="24"/>
              </w:rPr>
              <w:t>Компетентні вимоги</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eastAsia="Calibri" w:hAnsi="Times New Roman" w:cs="Times New Roman"/>
                <w:iCs/>
                <w:color w:val="000000"/>
                <w:sz w:val="24"/>
                <w:szCs w:val="24"/>
              </w:rPr>
            </w:pPr>
            <w:r w:rsidRPr="00DF0BD7">
              <w:rPr>
                <w:rFonts w:ascii="Times New Roman" w:eastAsia="Calibri" w:hAnsi="Times New Roman" w:cs="Times New Roman"/>
                <w:iCs/>
                <w:color w:val="000000"/>
                <w:sz w:val="24"/>
                <w:szCs w:val="24"/>
              </w:rPr>
              <w:t>Уміння працювати з комп'ютером</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ind w:left="103" w:right="130"/>
              <w:jc w:val="both"/>
              <w:textAlignment w:val="baseline"/>
              <w:rPr>
                <w:rFonts w:ascii="Times New Roman" w:eastAsia="Calibri" w:hAnsi="Times New Roman" w:cs="Times New Roman"/>
                <w:iCs/>
                <w:color w:val="000000"/>
                <w:sz w:val="24"/>
                <w:szCs w:val="24"/>
              </w:rPr>
            </w:pPr>
            <w:r w:rsidRPr="00DF0BD7">
              <w:rPr>
                <w:rFonts w:ascii="Times New Roman" w:hAnsi="Times New Roman" w:cs="Times New Roman"/>
                <w:iCs/>
                <w:color w:val="000000"/>
                <w:sz w:val="24"/>
                <w:szCs w:val="24"/>
              </w:rPr>
              <w:t xml:space="preserve">    В</w:t>
            </w:r>
            <w:r w:rsidRPr="00DF0BD7">
              <w:rPr>
                <w:rFonts w:ascii="Times New Roman" w:eastAsia="Calibri" w:hAnsi="Times New Roman" w:cs="Times New Roman"/>
                <w:iCs/>
                <w:color w:val="000000"/>
                <w:sz w:val="24"/>
                <w:szCs w:val="24"/>
              </w:rPr>
              <w:t>міння використовувати комп’ютерне обладнання та програмне забезпечення, використовувати офісну техніку.</w:t>
            </w:r>
          </w:p>
          <w:p w:rsidR="002B28FB" w:rsidRPr="00DF0BD7" w:rsidRDefault="002B28FB" w:rsidP="00B621E6">
            <w:pPr>
              <w:ind w:left="103" w:right="130"/>
              <w:jc w:val="both"/>
              <w:textAlignment w:val="baseline"/>
              <w:rPr>
                <w:rFonts w:ascii="Times New Roman" w:eastAsia="Calibri" w:hAnsi="Times New Roman" w:cs="Times New Roman"/>
                <w:iCs/>
                <w:color w:val="000000"/>
                <w:sz w:val="24"/>
                <w:szCs w:val="24"/>
              </w:rPr>
            </w:pPr>
            <w:r w:rsidRPr="00DF0BD7">
              <w:rPr>
                <w:rFonts w:ascii="Times New Roman" w:eastAsia="Calibri" w:hAnsi="Times New Roman" w:cs="Times New Roman"/>
                <w:iCs/>
                <w:color w:val="000000"/>
                <w:sz w:val="24"/>
                <w:szCs w:val="24"/>
              </w:rPr>
              <w:t xml:space="preserve">    Вільне володіння програмами: MS Office (Word, Excel), бажаними є вміння роботи в автоматизованій системі документообігу суду  «Д-3»</w:t>
            </w:r>
            <w:r w:rsidRPr="00DF0BD7">
              <w:rPr>
                <w:rFonts w:ascii="Times New Roman" w:hAnsi="Times New Roman" w:cs="Times New Roman"/>
                <w:iCs/>
                <w:color w:val="000000"/>
                <w:sz w:val="24"/>
                <w:szCs w:val="24"/>
              </w:rPr>
              <w:t>.</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eastAsia="Calibri" w:hAnsi="Times New Roman" w:cs="Times New Roman"/>
                <w:iCs/>
                <w:color w:val="000000"/>
                <w:sz w:val="24"/>
                <w:szCs w:val="24"/>
              </w:rPr>
            </w:pPr>
            <w:r w:rsidRPr="00DF0BD7">
              <w:rPr>
                <w:rFonts w:ascii="Times New Roman" w:eastAsia="Calibri" w:hAnsi="Times New Roman" w:cs="Times New Roman"/>
                <w:iCs/>
                <w:color w:val="000000"/>
                <w:sz w:val="24"/>
                <w:szCs w:val="24"/>
              </w:rPr>
              <w:t>Ділові якості</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ind w:left="103" w:right="130"/>
              <w:jc w:val="both"/>
              <w:textAlignment w:val="baseline"/>
              <w:rPr>
                <w:rFonts w:ascii="Times New Roman" w:eastAsia="Calibri" w:hAnsi="Times New Roman" w:cs="Times New Roman"/>
                <w:iCs/>
                <w:color w:val="000000"/>
                <w:sz w:val="24"/>
                <w:szCs w:val="24"/>
              </w:rPr>
            </w:pPr>
            <w:r w:rsidRPr="00DF0BD7">
              <w:rPr>
                <w:rFonts w:ascii="Times New Roman" w:hAnsi="Times New Roman" w:cs="Times New Roman"/>
                <w:iCs/>
                <w:color w:val="000000"/>
                <w:sz w:val="24"/>
                <w:szCs w:val="24"/>
              </w:rPr>
              <w:t>Д</w:t>
            </w:r>
            <w:r w:rsidRPr="00DF0BD7">
              <w:rPr>
                <w:rFonts w:ascii="Times New Roman" w:eastAsia="Calibri" w:hAnsi="Times New Roman" w:cs="Times New Roman"/>
                <w:iCs/>
                <w:color w:val="000000"/>
                <w:sz w:val="24"/>
                <w:szCs w:val="24"/>
              </w:rPr>
              <w:t xml:space="preserve">іалогове спілкування (письмове і усне), вміння активно слухати, виваженість, здатність концентруватись на деталях, уміння дотримуватись субординації, стійкість, </w:t>
            </w:r>
            <w:r w:rsidRPr="00DF0BD7">
              <w:rPr>
                <w:rFonts w:ascii="Times New Roman" w:hAnsi="Times New Roman" w:cs="Times New Roman"/>
                <w:iCs/>
                <w:color w:val="000000"/>
                <w:sz w:val="24"/>
                <w:szCs w:val="24"/>
              </w:rPr>
              <w:t xml:space="preserve">адаптивність, </w:t>
            </w:r>
            <w:r w:rsidRPr="00DF0BD7">
              <w:rPr>
                <w:rFonts w:ascii="Times New Roman" w:eastAsia="Calibri" w:hAnsi="Times New Roman" w:cs="Times New Roman"/>
                <w:iCs/>
                <w:color w:val="000000"/>
                <w:sz w:val="24"/>
                <w:szCs w:val="24"/>
              </w:rPr>
              <w:t>вимогливість, оперативність, вміння визначати пріоритети, вміння працювати в команді</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eastAsia="Calibri" w:hAnsi="Times New Roman" w:cs="Times New Roman"/>
                <w:iCs/>
                <w:color w:val="000000"/>
                <w:sz w:val="24"/>
                <w:szCs w:val="24"/>
              </w:rPr>
            </w:pPr>
            <w:r w:rsidRPr="00DF0BD7">
              <w:rPr>
                <w:rFonts w:ascii="Times New Roman" w:eastAsia="Calibri" w:hAnsi="Times New Roman" w:cs="Times New Roman"/>
                <w:iCs/>
                <w:color w:val="000000"/>
                <w:sz w:val="24"/>
                <w:szCs w:val="24"/>
              </w:rPr>
              <w:t>Особисті якості</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ind w:left="103" w:right="130"/>
              <w:jc w:val="both"/>
              <w:textAlignment w:val="baseline"/>
              <w:rPr>
                <w:rFonts w:ascii="Times New Roman" w:eastAsia="Calibri" w:hAnsi="Times New Roman" w:cs="Times New Roman"/>
                <w:iCs/>
                <w:color w:val="000000"/>
                <w:sz w:val="24"/>
                <w:szCs w:val="24"/>
              </w:rPr>
            </w:pPr>
            <w:r w:rsidRPr="00DF0BD7">
              <w:rPr>
                <w:rFonts w:ascii="Times New Roman" w:hAnsi="Times New Roman" w:cs="Times New Roman"/>
                <w:iCs/>
                <w:color w:val="000000"/>
                <w:sz w:val="24"/>
                <w:szCs w:val="24"/>
              </w:rPr>
              <w:t>І</w:t>
            </w:r>
            <w:r w:rsidRPr="00DF0BD7">
              <w:rPr>
                <w:rFonts w:ascii="Times New Roman" w:eastAsia="Calibri" w:hAnsi="Times New Roman" w:cs="Times New Roman"/>
                <w:iCs/>
                <w:color w:val="000000"/>
                <w:sz w:val="24"/>
                <w:szCs w:val="24"/>
              </w:rPr>
              <w:t>ніціативність, надійність, порядність, чесність, дисциплінованість, тактовність, готовність допомогти, емоційна стабільність, комунікабельність, повага до інших, відповідальність, ввічливість</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textAlignment w:val="baseline"/>
              <w:rPr>
                <w:rFonts w:ascii="Times New Roman" w:hAnsi="Times New Roman" w:cs="Times New Roman"/>
                <w:sz w:val="24"/>
                <w:szCs w:val="24"/>
                <w:lang w:eastAsia="uk-UA"/>
              </w:rPr>
            </w:pPr>
            <w:r w:rsidRPr="00DF0BD7">
              <w:rPr>
                <w:rFonts w:ascii="Times New Roman" w:hAnsi="Times New Roman" w:cs="Times New Roman"/>
                <w:sz w:val="24"/>
                <w:szCs w:val="24"/>
                <w:lang w:eastAsia="uk-UA"/>
              </w:rPr>
              <w:t>Командна робота та взаємодія</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textAlignment w:val="baseline"/>
              <w:rPr>
                <w:rFonts w:ascii="Times New Roman" w:hAnsi="Times New Roman" w:cs="Times New Roman"/>
                <w:sz w:val="24"/>
                <w:szCs w:val="24"/>
                <w:lang w:eastAsia="uk-UA"/>
              </w:rPr>
            </w:pPr>
            <w:r w:rsidRPr="00DF0BD7">
              <w:rPr>
                <w:rFonts w:ascii="Times New Roman" w:hAnsi="Times New Roman" w:cs="Times New Roman"/>
                <w:color w:val="000000"/>
                <w:sz w:val="24"/>
                <w:szCs w:val="24"/>
                <w:shd w:val="clear" w:color="auto" w:fill="FFFFFF"/>
              </w:rPr>
              <w:t xml:space="preserve">  Вміння працювати в команді</w:t>
            </w:r>
          </w:p>
        </w:tc>
      </w:tr>
      <w:tr w:rsidR="002B28FB" w:rsidRPr="002B28FB" w:rsidTr="00B621E6">
        <w:tc>
          <w:tcPr>
            <w:tcW w:w="9571" w:type="dxa"/>
            <w:gridSpan w:val="2"/>
            <w:tcBorders>
              <w:top w:val="single" w:sz="4" w:space="0" w:color="auto"/>
              <w:left w:val="single" w:sz="4" w:space="0" w:color="auto"/>
              <w:bottom w:val="single" w:sz="4" w:space="0" w:color="auto"/>
              <w:right w:val="single" w:sz="4" w:space="0" w:color="auto"/>
            </w:tcBorders>
          </w:tcPr>
          <w:p w:rsidR="002B28FB" w:rsidRPr="00DF0BD7" w:rsidRDefault="002B28FB" w:rsidP="00B621E6">
            <w:pPr>
              <w:pStyle w:val="rvps2"/>
              <w:shd w:val="clear" w:color="auto" w:fill="FFFFFF"/>
              <w:spacing w:before="0" w:beforeAutospacing="0" w:after="0" w:afterAutospacing="0"/>
              <w:jc w:val="center"/>
              <w:textAlignment w:val="baseline"/>
              <w:rPr>
                <w:b/>
                <w:color w:val="000000"/>
              </w:rPr>
            </w:pPr>
            <w:r w:rsidRPr="00DF0BD7">
              <w:rPr>
                <w:b/>
                <w:color w:val="000000"/>
              </w:rPr>
              <w:t>Професійні знання</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b/>
                <w:sz w:val="24"/>
                <w:szCs w:val="24"/>
              </w:rPr>
            </w:pPr>
            <w:r w:rsidRPr="00DF0BD7">
              <w:rPr>
                <w:rFonts w:ascii="Times New Roman" w:hAnsi="Times New Roman" w:cs="Times New Roman"/>
                <w:b/>
                <w:sz w:val="24"/>
                <w:szCs w:val="24"/>
              </w:rPr>
              <w:t>вимога</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b/>
                <w:sz w:val="24"/>
                <w:szCs w:val="24"/>
              </w:rPr>
            </w:pPr>
            <w:r w:rsidRPr="00DF0BD7">
              <w:rPr>
                <w:rFonts w:ascii="Times New Roman" w:hAnsi="Times New Roman" w:cs="Times New Roman"/>
                <w:b/>
                <w:sz w:val="24"/>
                <w:szCs w:val="24"/>
              </w:rPr>
              <w:t>Компетентні вимоги</w:t>
            </w:r>
          </w:p>
        </w:tc>
      </w:tr>
      <w:tr w:rsidR="002B28FB" w:rsidRPr="002B28FB" w:rsidTr="00B621E6">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rPr>
                <w:rFonts w:ascii="Times New Roman" w:hAnsi="Times New Roman" w:cs="Times New Roman"/>
                <w:sz w:val="24"/>
                <w:szCs w:val="24"/>
              </w:rPr>
            </w:pPr>
            <w:r w:rsidRPr="00DF0BD7">
              <w:rPr>
                <w:rFonts w:ascii="Times New Roman" w:hAnsi="Times New Roman" w:cs="Times New Roman"/>
                <w:sz w:val="24"/>
                <w:szCs w:val="24"/>
              </w:rPr>
              <w:t>Знання законодавства</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both"/>
              <w:rPr>
                <w:rFonts w:ascii="Times New Roman" w:hAnsi="Times New Roman" w:cs="Times New Roman"/>
                <w:sz w:val="24"/>
                <w:szCs w:val="24"/>
              </w:rPr>
            </w:pPr>
            <w:r w:rsidRPr="00DF0BD7">
              <w:rPr>
                <w:rFonts w:ascii="Times New Roman" w:hAnsi="Times New Roman" w:cs="Times New Roman"/>
                <w:sz w:val="24"/>
                <w:szCs w:val="24"/>
              </w:rPr>
              <w:t>Конституція України, Закон України «Про державну службу», Закон України «Про запобігання корупції», Закон України «Про судоустрій і статус суддів»</w:t>
            </w:r>
          </w:p>
        </w:tc>
      </w:tr>
      <w:tr w:rsidR="002B28FB" w:rsidRPr="002B28FB" w:rsidTr="00B621E6">
        <w:trPr>
          <w:trHeight w:val="477"/>
        </w:trPr>
        <w:tc>
          <w:tcPr>
            <w:tcW w:w="3252"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center"/>
              <w:textAlignment w:val="baseline"/>
              <w:rPr>
                <w:rFonts w:ascii="Times New Roman" w:hAnsi="Times New Roman" w:cs="Times New Roman"/>
                <w:sz w:val="24"/>
                <w:szCs w:val="24"/>
                <w:lang w:eastAsia="uk-UA"/>
              </w:rPr>
            </w:pPr>
            <w:r w:rsidRPr="00DF0BD7">
              <w:rPr>
                <w:rFonts w:ascii="Times New Roman" w:hAnsi="Times New Roman" w:cs="Times New Roman"/>
                <w:sz w:val="24"/>
                <w:szCs w:val="24"/>
              </w:rPr>
              <w:t>Знання спеціального законодавства,</w:t>
            </w:r>
            <w:r w:rsidR="00E03C7B" w:rsidRPr="00DF0BD7">
              <w:rPr>
                <w:rFonts w:ascii="Times New Roman" w:hAnsi="Times New Roman" w:cs="Times New Roman"/>
                <w:sz w:val="24"/>
                <w:szCs w:val="24"/>
              </w:rPr>
              <w:t xml:space="preserve"> </w:t>
            </w:r>
            <w:r w:rsidRPr="00DF0BD7">
              <w:rPr>
                <w:rFonts w:ascii="Times New Roman" w:hAnsi="Times New Roman" w:cs="Times New Roman"/>
                <w:sz w:val="24"/>
                <w:szCs w:val="24"/>
              </w:rPr>
              <w:t>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319" w:type="dxa"/>
            <w:tcBorders>
              <w:top w:val="single" w:sz="4" w:space="0" w:color="auto"/>
              <w:left w:val="single" w:sz="4" w:space="0" w:color="auto"/>
              <w:bottom w:val="single" w:sz="4" w:space="0" w:color="auto"/>
              <w:right w:val="single" w:sz="4" w:space="0" w:color="auto"/>
            </w:tcBorders>
          </w:tcPr>
          <w:p w:rsidR="002B28FB" w:rsidRPr="00DF0BD7" w:rsidRDefault="002B28FB" w:rsidP="00B621E6">
            <w:pPr>
              <w:jc w:val="both"/>
              <w:textAlignment w:val="baseline"/>
              <w:rPr>
                <w:rFonts w:ascii="Times New Roman" w:hAnsi="Times New Roman" w:cs="Times New Roman"/>
                <w:sz w:val="24"/>
                <w:szCs w:val="24"/>
                <w:lang w:eastAsia="uk-UA"/>
              </w:rPr>
            </w:pPr>
            <w:r w:rsidRPr="00DF0BD7">
              <w:rPr>
                <w:rFonts w:ascii="Times New Roman" w:hAnsi="Times New Roman" w:cs="Times New Roman"/>
                <w:sz w:val="24"/>
                <w:szCs w:val="24"/>
              </w:rPr>
              <w:t>Закон України «Про захист персональних даних», Закон України «Про інформацію», Цивільний процесуальний кодекс України, Кримінальний процесуальний кодекс України, Кодекс адміністративного судочинства України, Кодекс України про адміністративні правопорушення, Положення про автоматизовану систему документообігу суду, Інструкція з діловодства в місцевих загальних судах,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та кримінальних справ, Інструкція про порядок передання до архіву місцевого та апеляційного суду, зберігання в ньому, відбору та передання до державних архівних установ та архівних відділів міських рад судових справ та управлінської документації суду, Правила етичної поведінки державних службовців</w:t>
            </w:r>
          </w:p>
        </w:tc>
      </w:tr>
    </w:tbl>
    <w:p w:rsidR="002B28FB" w:rsidRPr="002B28FB" w:rsidRDefault="002B28FB" w:rsidP="002B28FB">
      <w:pPr>
        <w:rPr>
          <w:rFonts w:ascii="Times New Roman" w:hAnsi="Times New Roman" w:cs="Times New Roman"/>
        </w:rPr>
      </w:pPr>
    </w:p>
    <w:p w:rsidR="002B28FB" w:rsidRPr="002B28FB" w:rsidRDefault="002B28FB" w:rsidP="002B28FB">
      <w:pPr>
        <w:pStyle w:val="31"/>
        <w:tabs>
          <w:tab w:val="left" w:pos="2625"/>
          <w:tab w:val="center" w:pos="5462"/>
        </w:tabs>
        <w:ind w:firstLine="0"/>
        <w:rPr>
          <w:szCs w:val="28"/>
        </w:rPr>
      </w:pPr>
    </w:p>
    <w:p w:rsidR="005054C3" w:rsidRDefault="005054C3">
      <w:bookmarkStart w:id="1" w:name="_GoBack"/>
      <w:bookmarkEnd w:id="1"/>
    </w:p>
    <w:sectPr w:rsidR="005054C3" w:rsidSect="00EC151D">
      <w:pgSz w:w="11906" w:h="16838" w:code="9"/>
      <w:pgMar w:top="142" w:right="849"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D3"/>
    <w:rsid w:val="00093710"/>
    <w:rsid w:val="00147993"/>
    <w:rsid w:val="002B28FB"/>
    <w:rsid w:val="003053A2"/>
    <w:rsid w:val="003D41D3"/>
    <w:rsid w:val="004B4EF8"/>
    <w:rsid w:val="005054C3"/>
    <w:rsid w:val="00700367"/>
    <w:rsid w:val="00703891"/>
    <w:rsid w:val="00B42613"/>
    <w:rsid w:val="00D7423A"/>
    <w:rsid w:val="00DF0BD7"/>
    <w:rsid w:val="00E03C7B"/>
    <w:rsid w:val="00E22C91"/>
    <w:rsid w:val="00EA6E76"/>
    <w:rsid w:val="00EC1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C1DFE-FBA0-4349-8E1A-59C245EF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2B28FB"/>
    <w:pPr>
      <w:keepNext/>
      <w:spacing w:after="0" w:line="240" w:lineRule="auto"/>
      <w:jc w:val="center"/>
      <w:outlineLvl w:val="2"/>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28FB"/>
    <w:rPr>
      <w:rFonts w:ascii="Times New Roman" w:eastAsia="Times New Roman" w:hAnsi="Times New Roman" w:cs="Times New Roman"/>
      <w:b/>
      <w:sz w:val="36"/>
      <w:szCs w:val="20"/>
      <w:lang w:eastAsia="ru-RU"/>
    </w:rPr>
  </w:style>
  <w:style w:type="paragraph" w:styleId="2">
    <w:name w:val="Body Text 2"/>
    <w:basedOn w:val="a"/>
    <w:link w:val="20"/>
    <w:rsid w:val="002B28FB"/>
    <w:pPr>
      <w:spacing w:after="0" w:line="240" w:lineRule="auto"/>
      <w:jc w:val="center"/>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2B28FB"/>
    <w:rPr>
      <w:rFonts w:ascii="Times New Roman" w:eastAsia="Times New Roman" w:hAnsi="Times New Roman" w:cs="Times New Roman"/>
      <w:sz w:val="28"/>
      <w:szCs w:val="20"/>
      <w:lang w:eastAsia="ru-RU"/>
    </w:rPr>
  </w:style>
  <w:style w:type="paragraph" w:styleId="31">
    <w:name w:val="Body Text Indent 3"/>
    <w:basedOn w:val="a"/>
    <w:link w:val="32"/>
    <w:rsid w:val="002B28F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2B28FB"/>
    <w:rPr>
      <w:rFonts w:ascii="Times New Roman" w:eastAsia="Times New Roman" w:hAnsi="Times New Roman" w:cs="Times New Roman"/>
      <w:sz w:val="28"/>
      <w:szCs w:val="20"/>
      <w:lang w:eastAsia="ru-RU"/>
    </w:rPr>
  </w:style>
  <w:style w:type="paragraph" w:customStyle="1" w:styleId="rvps2">
    <w:name w:val="rvps2"/>
    <w:basedOn w:val="a"/>
    <w:rsid w:val="002B28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uiPriority w:val="99"/>
    <w:rsid w:val="002B28FB"/>
    <w:rPr>
      <w:color w:val="0000FF"/>
      <w:u w:val="single"/>
    </w:rPr>
  </w:style>
  <w:style w:type="paragraph" w:styleId="a4">
    <w:name w:val="Balloon Text"/>
    <w:basedOn w:val="a"/>
    <w:link w:val="a5"/>
    <w:uiPriority w:val="99"/>
    <w:semiHidden/>
    <w:unhideWhenUsed/>
    <w:rsid w:val="00EC151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151D"/>
    <w:rPr>
      <w:rFonts w:ascii="Segoe UI" w:hAnsi="Segoe UI" w:cs="Segoe UI"/>
      <w:sz w:val="18"/>
      <w:szCs w:val="18"/>
    </w:rPr>
  </w:style>
  <w:style w:type="paragraph" w:styleId="a6">
    <w:name w:val="List Paragraph"/>
    <w:basedOn w:val="a"/>
    <w:uiPriority w:val="34"/>
    <w:qFormat/>
    <w:rsid w:val="00EC1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46-2016-%D0%BF" TargetMode="External"/><Relationship Id="rId4" Type="http://schemas.openxmlformats.org/officeDocument/2006/relationships/hyperlink" Target="https://zakon.rada.gov.ua/laws/show/246-2016-%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5257</Words>
  <Characters>2997</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53</cp:revision>
  <cp:lastPrinted>2021-02-05T07:46:00Z</cp:lastPrinted>
  <dcterms:created xsi:type="dcterms:W3CDTF">2021-02-04T12:01:00Z</dcterms:created>
  <dcterms:modified xsi:type="dcterms:W3CDTF">2021-02-05T07:49:00Z</dcterms:modified>
</cp:coreProperties>
</file>