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D1" w:rsidRDefault="003B26D1">
      <w:pPr>
        <w:ind w:left="5670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1</w:t>
      </w:r>
    </w:p>
    <w:p w:rsidR="003B26D1" w:rsidRPr="00DA182A" w:rsidRDefault="003B26D1">
      <w:pPr>
        <w:ind w:left="5670" w:firstLine="0"/>
        <w:jc w:val="left"/>
        <w:rPr>
          <w:color w:val="000000"/>
          <w:sz w:val="24"/>
          <w:szCs w:val="24"/>
        </w:rPr>
      </w:pPr>
      <w:r w:rsidRPr="00DA182A">
        <w:rPr>
          <w:color w:val="000000"/>
          <w:sz w:val="24"/>
          <w:szCs w:val="24"/>
        </w:rPr>
        <w:t>ЗАТВЕРДЖЕНО</w:t>
      </w:r>
    </w:p>
    <w:p w:rsidR="003B26D1" w:rsidRPr="00DA182A" w:rsidRDefault="003B26D1">
      <w:pPr>
        <w:ind w:left="5670" w:firstLine="0"/>
        <w:jc w:val="left"/>
        <w:rPr>
          <w:color w:val="000000"/>
          <w:sz w:val="24"/>
          <w:szCs w:val="24"/>
        </w:rPr>
      </w:pPr>
      <w:r w:rsidRPr="00DA182A">
        <w:rPr>
          <w:color w:val="000000"/>
          <w:sz w:val="24"/>
          <w:szCs w:val="24"/>
        </w:rPr>
        <w:t xml:space="preserve">наказом </w:t>
      </w:r>
      <w:r>
        <w:rPr>
          <w:color w:val="000000"/>
          <w:sz w:val="24"/>
          <w:szCs w:val="24"/>
        </w:rPr>
        <w:t>керівника апарату Деснянського районного суду м. Чернігова</w:t>
      </w:r>
    </w:p>
    <w:p w:rsidR="003B26D1" w:rsidRPr="00BF3D63" w:rsidRDefault="003B26D1">
      <w:pPr>
        <w:ind w:left="5670" w:firstLine="0"/>
        <w:jc w:val="left"/>
        <w:rPr>
          <w:sz w:val="24"/>
          <w:szCs w:val="24"/>
        </w:rPr>
      </w:pPr>
      <w:r>
        <w:rPr>
          <w:sz w:val="24"/>
          <w:szCs w:val="24"/>
        </w:rPr>
        <w:t>від 20</w:t>
      </w:r>
      <w:r w:rsidRPr="00BF3D63">
        <w:rPr>
          <w:sz w:val="24"/>
          <w:szCs w:val="24"/>
        </w:rPr>
        <w:t xml:space="preserve"> січня 202</w:t>
      </w:r>
      <w:r>
        <w:rPr>
          <w:sz w:val="24"/>
          <w:szCs w:val="24"/>
        </w:rPr>
        <w:t>2</w:t>
      </w:r>
      <w:r w:rsidRPr="00BF3D63">
        <w:rPr>
          <w:sz w:val="24"/>
          <w:szCs w:val="24"/>
        </w:rPr>
        <w:t xml:space="preserve"> року № 1</w:t>
      </w:r>
      <w:r>
        <w:rPr>
          <w:sz w:val="24"/>
          <w:szCs w:val="24"/>
        </w:rPr>
        <w:t>8</w:t>
      </w:r>
      <w:r w:rsidRPr="00BF3D63">
        <w:rPr>
          <w:sz w:val="24"/>
          <w:szCs w:val="24"/>
        </w:rPr>
        <w:t>-д/к</w:t>
      </w:r>
    </w:p>
    <w:p w:rsidR="003B26D1" w:rsidRPr="006A2420" w:rsidRDefault="003B26D1">
      <w:pPr>
        <w:ind w:left="5670" w:firstLine="0"/>
        <w:jc w:val="center"/>
        <w:rPr>
          <w:b/>
          <w:color w:val="FF0000"/>
          <w:sz w:val="24"/>
          <w:szCs w:val="24"/>
        </w:rPr>
      </w:pPr>
    </w:p>
    <w:p w:rsidR="003B26D1" w:rsidRPr="00DA182A" w:rsidRDefault="003B26D1">
      <w:pPr>
        <w:tabs>
          <w:tab w:val="left" w:pos="0"/>
          <w:tab w:val="left" w:pos="10206"/>
        </w:tabs>
        <w:ind w:firstLine="0"/>
        <w:jc w:val="center"/>
        <w:rPr>
          <w:sz w:val="24"/>
          <w:szCs w:val="24"/>
        </w:rPr>
      </w:pPr>
      <w:r w:rsidRPr="00DA182A">
        <w:rPr>
          <w:sz w:val="24"/>
          <w:szCs w:val="24"/>
        </w:rPr>
        <w:t>УМОВИ</w:t>
      </w:r>
      <w:r w:rsidRPr="00DA182A">
        <w:rPr>
          <w:sz w:val="24"/>
          <w:szCs w:val="24"/>
        </w:rPr>
        <w:br/>
        <w:t>проведення конкурсу</w:t>
      </w:r>
    </w:p>
    <w:p w:rsidR="003B26D1" w:rsidRPr="00DA182A" w:rsidRDefault="003B26D1">
      <w:pPr>
        <w:tabs>
          <w:tab w:val="left" w:pos="0"/>
          <w:tab w:val="left" w:pos="10206"/>
        </w:tabs>
        <w:jc w:val="center"/>
        <w:rPr>
          <w:sz w:val="24"/>
          <w:szCs w:val="24"/>
        </w:rPr>
      </w:pPr>
      <w:r w:rsidRPr="00DA182A">
        <w:rPr>
          <w:sz w:val="24"/>
          <w:szCs w:val="24"/>
        </w:rPr>
        <w:t xml:space="preserve">на зайняття посади державної служби категорії «В» – </w:t>
      </w:r>
      <w:r>
        <w:rPr>
          <w:sz w:val="24"/>
          <w:szCs w:val="24"/>
        </w:rPr>
        <w:t>секретаря судових засідань Деснянського районного суду м. Чернігова</w:t>
      </w:r>
    </w:p>
    <w:p w:rsidR="003B26D1" w:rsidRPr="00DA182A" w:rsidRDefault="003B26D1">
      <w:pPr>
        <w:ind w:firstLine="0"/>
        <w:jc w:val="center"/>
        <w:rPr>
          <w:color w:val="000000"/>
          <w:sz w:val="24"/>
          <w:szCs w:val="24"/>
        </w:rPr>
      </w:pP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94"/>
        <w:gridCol w:w="2536"/>
        <w:gridCol w:w="6644"/>
        <w:gridCol w:w="12"/>
      </w:tblGrid>
      <w:tr w:rsidR="003B26D1" w:rsidRPr="00DA182A" w:rsidTr="00BD1318">
        <w:trPr>
          <w:gridAfter w:val="1"/>
          <w:wAfter w:w="12" w:type="dxa"/>
          <w:trHeight w:val="252"/>
        </w:trPr>
        <w:tc>
          <w:tcPr>
            <w:tcW w:w="947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26D1" w:rsidRPr="0052152C" w:rsidRDefault="003B26D1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Загальні умови</w:t>
            </w:r>
          </w:p>
        </w:tc>
      </w:tr>
      <w:tr w:rsidR="003B26D1" w:rsidRPr="00DA182A" w:rsidTr="001A20B3">
        <w:trPr>
          <w:gridAfter w:val="1"/>
          <w:wAfter w:w="12" w:type="dxa"/>
          <w:trHeight w:val="318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1A20B3" w:rsidRDefault="003B26D1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1A20B3" w:rsidRDefault="003B26D1" w:rsidP="001A20B3">
            <w:pPr>
              <w:pStyle w:val="NormalWeb"/>
              <w:numPr>
                <w:ilvl w:val="0"/>
                <w:numId w:val="14"/>
              </w:numPr>
              <w:spacing w:before="0" w:beforeAutospacing="0" w:after="40" w:afterAutospacing="0"/>
              <w:ind w:left="147" w:right="88" w:firstLine="0"/>
              <w:rPr>
                <w:lang w:val="uk-UA"/>
              </w:rPr>
            </w:pPr>
            <w:r w:rsidRPr="001A20B3">
              <w:rPr>
                <w:lang w:val="uk-UA"/>
              </w:rPr>
              <w:t>Забезпечення організації розгляду судових справ</w:t>
            </w:r>
            <w:r w:rsidRPr="001A20B3">
              <w:rPr>
                <w:color w:val="000000"/>
                <w:lang w:val="uk-UA"/>
              </w:rPr>
              <w:t xml:space="preserve">: </w:t>
            </w:r>
          </w:p>
          <w:p w:rsidR="003B26D1" w:rsidRPr="001A20B3" w:rsidRDefault="003B26D1" w:rsidP="001A20B3">
            <w:pPr>
              <w:pStyle w:val="NormalWeb"/>
              <w:tabs>
                <w:tab w:val="left" w:pos="184"/>
                <w:tab w:val="left" w:pos="326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>– здійснення судових викликів та повідомлень у справах, які</w:t>
            </w:r>
            <w:r w:rsidRPr="001A20B3">
              <w:rPr>
                <w:lang w:val="uk-UA"/>
              </w:rPr>
              <w:br/>
              <w:t xml:space="preserve">знаходяться у провадженні судді; </w:t>
            </w:r>
          </w:p>
          <w:p w:rsidR="003B26D1" w:rsidRPr="001A20B3" w:rsidRDefault="003B26D1" w:rsidP="001A20B3">
            <w:pPr>
              <w:pStyle w:val="NormalWeb"/>
              <w:tabs>
                <w:tab w:val="left" w:pos="184"/>
                <w:tab w:val="left" w:pos="326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>– оформлення заявок до органів Національної поліції, адміністрації місць попереднього ув'язнення про доставку до суду затриманих та підсудних осіб, підготовка копій відповідних судових рішень;</w:t>
            </w:r>
          </w:p>
          <w:p w:rsidR="003B26D1" w:rsidRPr="001A20B3" w:rsidRDefault="003B26D1" w:rsidP="001A20B3">
            <w:pPr>
              <w:pStyle w:val="NormalWeb"/>
              <w:tabs>
                <w:tab w:val="left" w:pos="184"/>
                <w:tab w:val="left" w:pos="326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>– здійснення підготовки дозволу на побачення з обвинуваченим по справах, які перебувають у провадженні  судді;</w:t>
            </w:r>
          </w:p>
          <w:p w:rsidR="003B26D1" w:rsidRPr="001A20B3" w:rsidRDefault="003B26D1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sz w:val="24"/>
                <w:szCs w:val="24"/>
              </w:rPr>
              <w:t>– проведення п</w:t>
            </w:r>
            <w:r w:rsidRPr="001A20B3">
              <w:rPr>
                <w:color w:val="000000"/>
                <w:sz w:val="24"/>
                <w:szCs w:val="24"/>
              </w:rPr>
              <w:t>еревірки наявності і з'ясування</w:t>
            </w:r>
            <w:r>
              <w:rPr>
                <w:color w:val="000000"/>
                <w:sz w:val="24"/>
                <w:szCs w:val="24"/>
              </w:rPr>
              <w:t xml:space="preserve"> причин відсутності  осіб, яких </w:t>
            </w:r>
            <w:r w:rsidRPr="001A20B3">
              <w:rPr>
                <w:color w:val="000000"/>
                <w:sz w:val="24"/>
                <w:szCs w:val="24"/>
              </w:rPr>
              <w:t>викликано до суду, і повідомлення про це головуючому судді;</w:t>
            </w:r>
          </w:p>
          <w:p w:rsidR="003B26D1" w:rsidRPr="001A20B3" w:rsidRDefault="003B26D1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здійснення перевірки осіб, які викликані в судове засідання, 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A20B3">
              <w:rPr>
                <w:color w:val="000000"/>
                <w:sz w:val="24"/>
                <w:szCs w:val="24"/>
              </w:rPr>
              <w:t>зазначення на повістках часу перебування в суді;</w:t>
            </w:r>
          </w:p>
          <w:p w:rsidR="003B26D1" w:rsidRPr="001A20B3" w:rsidRDefault="003B26D1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забезпечення ведення протоколу (журналу) судового засідання;</w:t>
            </w:r>
          </w:p>
          <w:p w:rsidR="003B26D1" w:rsidRPr="001A20B3" w:rsidRDefault="003B26D1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отримання від учасників судового процесу розписок про розгляд судових справ та про вручення процесуальних документів;</w:t>
            </w:r>
          </w:p>
          <w:p w:rsidR="003B26D1" w:rsidRPr="001A20B3" w:rsidRDefault="003B26D1" w:rsidP="001A20B3">
            <w:pPr>
              <w:numPr>
                <w:ilvl w:val="0"/>
                <w:numId w:val="13"/>
              </w:num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оформлення копій судових рішень у справах, які знаходяться в провадженні судді;</w:t>
            </w:r>
          </w:p>
          <w:p w:rsidR="003B26D1" w:rsidRPr="001A20B3" w:rsidRDefault="003B26D1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здійснення заходів щодо вручення копії вироку обвинуваченому або виправданому відповідно до вимог Кримінального процесуального кодексу України;</w:t>
            </w:r>
          </w:p>
          <w:p w:rsidR="003B26D1" w:rsidRPr="001A20B3" w:rsidRDefault="003B26D1" w:rsidP="001A20B3">
            <w:p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справи;</w:t>
            </w:r>
          </w:p>
          <w:p w:rsidR="003B26D1" w:rsidRPr="001A20B3" w:rsidRDefault="003B26D1" w:rsidP="001A20B3">
            <w:pPr>
              <w:numPr>
                <w:ilvl w:val="0"/>
                <w:numId w:val="12"/>
              </w:numPr>
              <w:tabs>
                <w:tab w:val="left" w:pos="184"/>
                <w:tab w:val="left" w:pos="326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rFonts w:ascii="HelveticaNeueCyr-Roman" w:hAnsi="HelveticaNeueCyr-Roman"/>
                <w:color w:val="000000"/>
                <w:sz w:val="24"/>
                <w:szCs w:val="24"/>
                <w:shd w:val="clear" w:color="auto" w:fill="FFFFFF"/>
              </w:rPr>
              <w:t xml:space="preserve"> обробка вихідної кореспонденції по справах, які знаходяться в провадженні судді (підготовка листів, заповнення рекомендованих повідомлень, оформлення конвертів тощо);</w:t>
            </w:r>
          </w:p>
          <w:p w:rsidR="003B26D1" w:rsidRPr="001A20B3" w:rsidRDefault="003B26D1" w:rsidP="001A20B3">
            <w:pPr>
              <w:tabs>
                <w:tab w:val="left" w:pos="470"/>
              </w:tabs>
              <w:spacing w:after="2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  <w:shd w:val="clear" w:color="auto" w:fill="FFFFFF"/>
              </w:rPr>
              <w:t>– виготовлення виконавчих листів у справах, за якими передбачено негайне виконання, на виконання процесуальних кодексів України та Закону України «Про виконавче провадження»</w:t>
            </w:r>
            <w:r w:rsidRPr="001A20B3">
              <w:rPr>
                <w:color w:val="000000"/>
                <w:sz w:val="24"/>
                <w:szCs w:val="24"/>
              </w:rPr>
              <w:t>.</w:t>
            </w:r>
          </w:p>
          <w:p w:rsidR="003B26D1" w:rsidRPr="001A20B3" w:rsidRDefault="003B26D1" w:rsidP="001A20B3">
            <w:pPr>
              <w:pStyle w:val="NormalWeb"/>
              <w:numPr>
                <w:ilvl w:val="0"/>
                <w:numId w:val="14"/>
              </w:numPr>
              <w:tabs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color w:val="000000"/>
                <w:lang w:val="uk-UA"/>
              </w:rPr>
            </w:pPr>
            <w:r w:rsidRPr="001A20B3">
              <w:rPr>
                <w:lang w:val="uk-UA"/>
              </w:rPr>
              <w:t xml:space="preserve">Забезпечення формування і оформлення судових справ та їх передача до канцелярії </w:t>
            </w:r>
            <w:r w:rsidRPr="001A20B3">
              <w:rPr>
                <w:color w:val="000000"/>
                <w:lang w:val="uk-UA"/>
              </w:rPr>
              <w:t>суду:</w:t>
            </w:r>
          </w:p>
          <w:p w:rsidR="003B26D1" w:rsidRPr="001A20B3" w:rsidRDefault="003B26D1" w:rsidP="001A20B3">
            <w:pPr>
              <w:tabs>
                <w:tab w:val="left" w:pos="431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 xml:space="preserve">– забезпечення оформлення матеріалів судових справ (складання внутрішнього опису та підшивання документів у справах після передачі їх судді) у відповідності до вимог Інструкції з діловодства; </w:t>
            </w:r>
          </w:p>
          <w:p w:rsidR="003B26D1" w:rsidRPr="001A20B3" w:rsidRDefault="003B26D1" w:rsidP="001A20B3">
            <w:pPr>
              <w:tabs>
                <w:tab w:val="left" w:pos="431"/>
              </w:tabs>
              <w:spacing w:after="40"/>
              <w:ind w:left="147" w:right="88" w:firstLine="0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– своєчасність долучення документів до матеріалів судової справи, у тому числі в електронному вигляді (за необхідності);</w:t>
            </w:r>
          </w:p>
          <w:p w:rsidR="003B26D1" w:rsidRDefault="003B26D1" w:rsidP="001A20B3">
            <w:pPr>
              <w:tabs>
                <w:tab w:val="left" w:pos="431"/>
                <w:tab w:val="left" w:pos="470"/>
              </w:tabs>
              <w:spacing w:after="20"/>
              <w:ind w:left="147" w:right="88" w:firstLine="0"/>
              <w:rPr>
                <w:sz w:val="24"/>
                <w:szCs w:val="24"/>
              </w:rPr>
            </w:pPr>
            <w:r w:rsidRPr="001A20B3">
              <w:rPr>
                <w:sz w:val="24"/>
                <w:szCs w:val="24"/>
              </w:rPr>
              <w:t>– здійснення передачі справ до канцелярії, а архівних копій  фонограм – до архіву суду, у встановлені чинним законодавством строки.</w:t>
            </w:r>
          </w:p>
          <w:p w:rsidR="003B26D1" w:rsidRDefault="003B26D1" w:rsidP="001A20B3">
            <w:pPr>
              <w:numPr>
                <w:ilvl w:val="0"/>
                <w:numId w:val="14"/>
              </w:numPr>
              <w:tabs>
                <w:tab w:val="left" w:pos="431"/>
                <w:tab w:val="left" w:pos="470"/>
              </w:tabs>
              <w:spacing w:after="20"/>
              <w:ind w:left="147" w:right="88" w:firstLine="0"/>
              <w:rPr>
                <w:sz w:val="24"/>
                <w:szCs w:val="24"/>
              </w:rPr>
            </w:pPr>
            <w:r w:rsidRPr="001A20B3">
              <w:rPr>
                <w:sz w:val="24"/>
                <w:szCs w:val="24"/>
              </w:rPr>
              <w:t>Забезпечення фіксування судового процесу (судового засідання) технічними засобами і проведення судового засідання в режимі відеоконференції, у тому числі поза межами приміщення суду, згідно з відповідними Інструкціями про порядок роботи з технічними засобами.</w:t>
            </w:r>
          </w:p>
          <w:p w:rsidR="003B26D1" w:rsidRPr="001A20B3" w:rsidRDefault="003B26D1" w:rsidP="001A20B3">
            <w:pPr>
              <w:numPr>
                <w:ilvl w:val="0"/>
                <w:numId w:val="14"/>
              </w:numPr>
              <w:tabs>
                <w:tab w:val="left" w:pos="431"/>
                <w:tab w:val="left" w:pos="470"/>
              </w:tabs>
              <w:spacing w:after="20"/>
              <w:ind w:left="147" w:right="88" w:firstLine="0"/>
              <w:rPr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Забезпечення роботи в автоматизованій системі документообігу суду:</w:t>
            </w:r>
          </w:p>
          <w:p w:rsidR="003B26D1" w:rsidRPr="001A20B3" w:rsidRDefault="003B26D1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color w:val="000000"/>
                <w:lang w:val="uk-UA"/>
              </w:rPr>
            </w:pPr>
            <w:r w:rsidRPr="001A20B3">
              <w:rPr>
                <w:color w:val="000000"/>
                <w:lang w:val="uk-UA"/>
              </w:rPr>
              <w:t>– своєчасне внесення до автоматизованої системи документообігу суду достовірних відомостей в межах наданих повноважень відповідно до вимог Положення про автоматизовану систему документообігу суду, та забезпечення конфіденційності інформації, яка в ній міститься;</w:t>
            </w:r>
          </w:p>
          <w:p w:rsidR="003B26D1" w:rsidRPr="001A20B3" w:rsidRDefault="003B26D1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1A20B3">
              <w:rPr>
                <w:color w:val="000000"/>
                <w:shd w:val="clear" w:color="auto" w:fill="FFFFFF"/>
                <w:lang w:val="uk-UA"/>
              </w:rPr>
              <w:t xml:space="preserve">– формування в електронному вигляді </w:t>
            </w:r>
            <w:r w:rsidRPr="001A20B3">
              <w:rPr>
                <w:color w:val="000000"/>
                <w:lang w:val="uk-UA"/>
              </w:rPr>
              <w:t xml:space="preserve">повідомлень, запитів, листів, довідок, виконавчих листів </w:t>
            </w:r>
            <w:r w:rsidRPr="001A20B3">
              <w:rPr>
                <w:color w:val="000000"/>
                <w:shd w:val="clear" w:color="auto" w:fill="FFFFFF"/>
                <w:lang w:val="uk-UA"/>
              </w:rPr>
              <w:t>та інших процесуальних документів суду;</w:t>
            </w:r>
          </w:p>
          <w:p w:rsidR="003B26D1" w:rsidRDefault="003B26D1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lang w:val="uk-UA"/>
              </w:rPr>
            </w:pPr>
            <w:r w:rsidRPr="001A20B3">
              <w:rPr>
                <w:lang w:val="uk-UA"/>
              </w:rPr>
              <w:t xml:space="preserve">– своєчасне направлення учасникам судового процесу (кримінального провадження) документів в електронному вигляді та </w:t>
            </w:r>
            <w:r w:rsidRPr="001A20B3">
              <w:rPr>
                <w:rStyle w:val="12"/>
                <w:b w:val="0"/>
                <w:i w:val="0"/>
                <w:color w:val="000000"/>
                <w:sz w:val="24"/>
              </w:rPr>
              <w:t>текстів</w:t>
            </w:r>
            <w:r w:rsidRPr="001A20B3">
              <w:rPr>
                <w:rStyle w:val="12"/>
                <w:color w:val="000000"/>
                <w:sz w:val="24"/>
              </w:rPr>
              <w:t xml:space="preserve"> </w:t>
            </w:r>
            <w:r w:rsidRPr="001A20B3">
              <w:rPr>
                <w:shd w:val="clear" w:color="auto" w:fill="FFFFFF"/>
                <w:lang w:val="uk-UA"/>
              </w:rPr>
              <w:t>судових повісток за допомогою</w:t>
            </w:r>
            <w:r w:rsidRPr="001A20B3">
              <w:rPr>
                <w:shd w:val="clear" w:color="auto" w:fill="FFFFFF"/>
                <w:lang w:val="uk-UA"/>
              </w:rPr>
              <w:br/>
            </w:r>
            <w:r w:rsidRPr="001A20B3">
              <w:rPr>
                <w:lang w:val="uk-UA"/>
              </w:rPr>
              <w:t>sms-повідомлень з використанням автоматизован</w:t>
            </w:r>
            <w:r>
              <w:rPr>
                <w:lang w:val="uk-UA"/>
              </w:rPr>
              <w:t>ої системи документообігу суду;</w:t>
            </w:r>
          </w:p>
          <w:p w:rsidR="003B26D1" w:rsidRDefault="003B26D1" w:rsidP="001A20B3">
            <w:pPr>
              <w:pStyle w:val="NormalWeb"/>
              <w:tabs>
                <w:tab w:val="left" w:pos="289"/>
              </w:tabs>
              <w:spacing w:before="0" w:beforeAutospacing="0" w:after="40" w:afterAutospacing="0"/>
              <w:ind w:left="147" w:right="88"/>
              <w:jc w:val="both"/>
              <w:rPr>
                <w:color w:val="000000"/>
                <w:lang w:val="uk-UA"/>
              </w:rPr>
            </w:pPr>
            <w:r w:rsidRPr="001A20B3">
              <w:rPr>
                <w:color w:val="000000"/>
                <w:lang w:val="uk-UA"/>
              </w:rPr>
              <w:t>– здійснення сканування судових справ, які перебувають в провадженні судді, та подальше їх експортування до автоматизованої системи документообігу суду.</w:t>
            </w:r>
          </w:p>
          <w:p w:rsidR="003B26D1" w:rsidRDefault="003B26D1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lang w:val="uk-UA"/>
              </w:rPr>
              <w:t>Оформлення та передача до канцелярії суду списків справ, призначених до розгляду.</w:t>
            </w:r>
          </w:p>
          <w:p w:rsidR="003B26D1" w:rsidRDefault="003B26D1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lang w:val="uk-UA"/>
              </w:rPr>
              <w:t>Здійснення підготовки документів для забезпечення виконання запиту про міжнародну правову допомогу на виконання вимог міжнародно-правових договорів.</w:t>
            </w:r>
          </w:p>
          <w:p w:rsidR="003B26D1" w:rsidRDefault="003B26D1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lang w:val="uk-UA"/>
              </w:rPr>
              <w:t>Виконання вимог Інструкції з діловодства</w:t>
            </w:r>
            <w:r>
              <w:rPr>
                <w:lang w:val="uk-UA"/>
              </w:rPr>
              <w:t>,</w:t>
            </w:r>
            <w:r w:rsidRPr="003A1732">
              <w:rPr>
                <w:lang w:val="uk-UA"/>
              </w:rPr>
              <w:t xml:space="preserve"> відповідальність за збереження процесуальних та інших документів, а також за нерозголошення інформації з обмеженим доступом, що міститься в них.</w:t>
            </w:r>
          </w:p>
          <w:p w:rsidR="003B26D1" w:rsidRPr="001A20B3" w:rsidRDefault="003B26D1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lang w:val="uk-UA"/>
              </w:rPr>
            </w:pPr>
            <w:r w:rsidRPr="003A1732">
              <w:rPr>
                <w:color w:val="000000"/>
                <w:lang w:val="uk-UA"/>
              </w:rPr>
              <w:t>Виконання в судовому засіданні функцій судового розпорядника</w:t>
            </w:r>
            <w:r>
              <w:rPr>
                <w:color w:val="000000"/>
                <w:lang w:val="uk-UA"/>
              </w:rPr>
              <w:t>, передбачених ст. 7</w:t>
            </w:r>
            <w:r w:rsidRPr="003A1732">
              <w:rPr>
                <w:color w:val="000000"/>
                <w:lang w:val="uk-UA"/>
              </w:rPr>
              <w:t xml:space="preserve">4 Кримінального процесуального кодексу України, </w:t>
            </w:r>
            <w:r>
              <w:rPr>
                <w:color w:val="000000"/>
                <w:lang w:val="uk-UA"/>
              </w:rPr>
              <w:t>у разі</w:t>
            </w:r>
            <w:r w:rsidRPr="003A173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його </w:t>
            </w:r>
            <w:r w:rsidRPr="003A1732">
              <w:rPr>
                <w:color w:val="000000"/>
                <w:lang w:val="uk-UA"/>
              </w:rPr>
              <w:t>відсутності.</w:t>
            </w:r>
          </w:p>
          <w:p w:rsidR="003B26D1" w:rsidRPr="001A20B3" w:rsidRDefault="003B26D1" w:rsidP="001A20B3">
            <w:pPr>
              <w:pStyle w:val="NormalWeb"/>
              <w:numPr>
                <w:ilvl w:val="0"/>
                <w:numId w:val="14"/>
              </w:numPr>
              <w:tabs>
                <w:tab w:val="left" w:pos="289"/>
                <w:tab w:val="left" w:pos="431"/>
              </w:tabs>
              <w:spacing w:before="0" w:beforeAutospacing="0" w:after="40" w:afterAutospacing="0"/>
              <w:ind w:left="147" w:right="88" w:firstLine="0"/>
              <w:jc w:val="both"/>
              <w:rPr>
                <w:color w:val="000000"/>
              </w:rPr>
            </w:pPr>
            <w:r w:rsidRPr="003A1732">
              <w:rPr>
                <w:lang w:val="uk-UA"/>
              </w:rPr>
              <w:t>Виконання    інших   доручень    судді,    керівника    апарату    суду, помічника судді, що стосуються організації розгляду судових справ.</w:t>
            </w:r>
          </w:p>
        </w:tc>
      </w:tr>
      <w:tr w:rsidR="003B26D1" w:rsidRPr="00DA182A" w:rsidTr="00BD1318">
        <w:trPr>
          <w:gridAfter w:val="1"/>
          <w:wAfter w:w="12" w:type="dxa"/>
          <w:trHeight w:val="2115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Умови оплати праці</w:t>
            </w:r>
          </w:p>
        </w:tc>
        <w:tc>
          <w:tcPr>
            <w:tcW w:w="66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 xml:space="preserve">- посадовий оклад – </w:t>
            </w:r>
            <w:r>
              <w:rPr>
                <w:color w:val="000000"/>
                <w:sz w:val="24"/>
                <w:szCs w:val="24"/>
              </w:rPr>
              <w:t>5010</w:t>
            </w:r>
            <w:r w:rsidRPr="0052152C">
              <w:rPr>
                <w:color w:val="000000"/>
                <w:sz w:val="24"/>
                <w:szCs w:val="24"/>
              </w:rPr>
              <w:t xml:space="preserve"> грн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3B26D1" w:rsidRPr="0052152C" w:rsidRDefault="003B26D1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надбавки, доплати, премії та компенсації</w:t>
            </w:r>
            <w:r w:rsidRPr="0052152C">
              <w:rPr>
                <w:sz w:val="24"/>
                <w:szCs w:val="24"/>
              </w:rPr>
              <w:t xml:space="preserve"> відповідно до статті 52 Закону України «Про державну службу»;</w:t>
            </w:r>
          </w:p>
          <w:p w:rsidR="003B26D1" w:rsidRPr="0052152C" w:rsidRDefault="003B26D1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3B26D1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8A5E8D" w:rsidRDefault="003B26D1" w:rsidP="0052152C">
            <w:pPr>
              <w:tabs>
                <w:tab w:val="left" w:pos="0"/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 w:rsidRPr="008A5E8D">
              <w:rPr>
                <w:sz w:val="24"/>
                <w:szCs w:val="24"/>
              </w:rPr>
              <w:t>строково,</w:t>
            </w:r>
            <w:r w:rsidRPr="008A5E8D">
              <w:t xml:space="preserve"> </w:t>
            </w:r>
            <w:r w:rsidRPr="008A5E8D">
              <w:rPr>
                <w:sz w:val="24"/>
                <w:szCs w:val="24"/>
              </w:rPr>
              <w:t>на період відсутності основного працівника</w:t>
            </w:r>
          </w:p>
          <w:p w:rsidR="003B26D1" w:rsidRPr="0052152C" w:rsidRDefault="003B26D1" w:rsidP="0052152C">
            <w:pPr>
              <w:tabs>
                <w:tab w:val="left" w:pos="0"/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(</w:t>
            </w:r>
            <w:r w:rsidRPr="0052152C">
              <w:rPr>
                <w:color w:val="000000"/>
                <w:sz w:val="24"/>
                <w:szCs w:val="24"/>
                <w:shd w:val="clear" w:color="auto" w:fill="FFFFFF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  <w:r w:rsidRPr="0052152C">
              <w:rPr>
                <w:color w:val="000000"/>
                <w:sz w:val="24"/>
                <w:szCs w:val="24"/>
              </w:rPr>
              <w:t>)</w:t>
            </w:r>
          </w:p>
          <w:p w:rsidR="003B26D1" w:rsidRPr="0052152C" w:rsidRDefault="003B26D1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</w:p>
        </w:tc>
      </w:tr>
      <w:tr w:rsidR="003B26D1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C82080" w:rsidRDefault="003B26D1" w:rsidP="0052152C">
            <w:pPr>
              <w:pStyle w:val="rvps2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C82080">
              <w:rPr>
                <w:lang w:val="uk-UA"/>
              </w:rPr>
              <w:t>Особа, яка бажає взяти участь у конкурсі, подає конкурсній комісії через Єдиний портал вакансій державної служби таку інформацію:</w:t>
            </w:r>
          </w:p>
          <w:p w:rsidR="003B26D1" w:rsidRPr="00C82080" w:rsidRDefault="003B26D1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1) заяву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служби, затвердженого постановою Кабінету Міністрів України від 25.03.2016 № 246 (із змінами);</w:t>
            </w:r>
          </w:p>
          <w:p w:rsidR="003B26D1" w:rsidRPr="00C82080" w:rsidRDefault="003B26D1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2) резюме за формою згідно з додатком 2</w:t>
            </w:r>
            <w:r w:rsidRPr="00C82080">
              <w:rPr>
                <w:sz w:val="24"/>
                <w:szCs w:val="24"/>
                <w:vertAlign w:val="superscript"/>
              </w:rPr>
              <w:t>1</w:t>
            </w:r>
            <w:r w:rsidRPr="00C82080">
              <w:rPr>
                <w:sz w:val="24"/>
                <w:szCs w:val="24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25.03.2016 № 246 (із змінами), в якому обов’язково зазначається така інформація:</w:t>
            </w:r>
          </w:p>
          <w:p w:rsidR="003B26D1" w:rsidRPr="00C82080" w:rsidRDefault="003B26D1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прізвище, ім’я, по батькові кандидата;</w:t>
            </w:r>
          </w:p>
          <w:p w:rsidR="003B26D1" w:rsidRPr="00C82080" w:rsidRDefault="003B26D1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3B26D1" w:rsidRPr="00C82080" w:rsidRDefault="003B26D1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3B26D1" w:rsidRPr="00C82080" w:rsidRDefault="003B26D1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3B26D1" w:rsidRPr="00C82080" w:rsidRDefault="003B26D1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3B26D1" w:rsidRDefault="003B26D1" w:rsidP="002D13AA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Подача додатків до заяви не є обов’язковою.</w:t>
            </w:r>
          </w:p>
          <w:p w:rsidR="003B26D1" w:rsidRPr="00C82080" w:rsidRDefault="003B26D1" w:rsidP="002D13AA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3B26D1" w:rsidRPr="00DC5144" w:rsidRDefault="003B26D1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DC5144">
              <w:rPr>
                <w:lang w:val="uk-UA"/>
              </w:rPr>
              <w:t xml:space="preserve">Від особи, яка виявила бажання взяти участь у конкурсі, не вимагається підтвердження подання декларації особи, уповноваженої на виконання функцій держави або місцевого самоврядування, за минулий рік.  </w:t>
            </w:r>
          </w:p>
          <w:p w:rsidR="003B26D1" w:rsidRPr="00DC5144" w:rsidRDefault="003B26D1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DC5144">
              <w:rPr>
                <w:lang w:val="uk-UA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самоврядування, за минулий рік, її повторне подання не вимагається.</w:t>
            </w:r>
          </w:p>
          <w:p w:rsidR="003B26D1" w:rsidRPr="00C82080" w:rsidRDefault="003B26D1" w:rsidP="0052152C">
            <w:pPr>
              <w:autoSpaceDE w:val="0"/>
              <w:adjustRightInd w:val="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:rsidR="003B26D1" w:rsidRPr="00C82080" w:rsidRDefault="003B26D1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C82080">
              <w:rPr>
                <w:lang w:val="uk-UA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3B26D1" w:rsidRPr="00C82080" w:rsidRDefault="003B26D1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Державні службовці Деснянського районного суду</w:t>
            </w:r>
            <w:r w:rsidRPr="00C82080">
              <w:rPr>
                <w:sz w:val="24"/>
                <w:szCs w:val="24"/>
              </w:rPr>
              <w:br/>
              <w:t>м. Чернігова, які бажають взяти участь у конкурсі, подають лише заяву про участь у конкурсі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 246 (із змінами).</w:t>
            </w:r>
          </w:p>
          <w:p w:rsidR="003B26D1" w:rsidRPr="00C82080" w:rsidRDefault="003B26D1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10"/>
                <w:szCs w:val="10"/>
              </w:rPr>
            </w:pPr>
          </w:p>
          <w:p w:rsidR="003B26D1" w:rsidRPr="00C82080" w:rsidRDefault="003B26D1" w:rsidP="00BE1C81">
            <w:pPr>
              <w:shd w:val="clear" w:color="auto" w:fill="FFFFFF"/>
              <w:tabs>
                <w:tab w:val="left" w:pos="612"/>
              </w:tabs>
              <w:spacing w:after="20"/>
              <w:ind w:left="127" w:firstLine="0"/>
              <w:jc w:val="left"/>
              <w:rPr>
                <w:sz w:val="24"/>
                <w:szCs w:val="24"/>
                <w:u w:val="single"/>
              </w:rPr>
            </w:pPr>
            <w:r w:rsidRPr="00C82080">
              <w:rPr>
                <w:sz w:val="24"/>
                <w:szCs w:val="24"/>
              </w:rPr>
              <w:t>Документи приймаються д</w:t>
            </w:r>
            <w:r>
              <w:rPr>
                <w:sz w:val="24"/>
                <w:szCs w:val="24"/>
              </w:rPr>
              <w:t xml:space="preserve">о 17 год. 00 хв. </w:t>
            </w:r>
            <w:r w:rsidRPr="00BF3D63">
              <w:rPr>
                <w:sz w:val="24"/>
                <w:szCs w:val="24"/>
              </w:rPr>
              <w:t>27 січня 2022 року</w:t>
            </w:r>
          </w:p>
        </w:tc>
      </w:tr>
      <w:tr w:rsidR="003B26D1" w:rsidRPr="00DA182A" w:rsidTr="00BD1318"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Додаткові (необов’язкові) документи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C82080" w:rsidRDefault="003B26D1" w:rsidP="0052152C">
            <w:pPr>
              <w:shd w:val="clear" w:color="auto" w:fill="FFFFFF"/>
              <w:ind w:left="187" w:right="125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3B26D1" w:rsidRPr="00DA182A" w:rsidTr="00BD1318">
        <w:trPr>
          <w:trHeight w:val="463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left="127" w:right="126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 xml:space="preserve">Дата і час початку проведення тестування кандидатів. </w:t>
            </w:r>
          </w:p>
          <w:p w:rsidR="003B26D1" w:rsidRPr="0052152C" w:rsidRDefault="003B26D1" w:rsidP="002D78F7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Місце або спосіб проведення тестування.</w:t>
            </w:r>
          </w:p>
          <w:p w:rsidR="003B26D1" w:rsidRPr="0052152C" w:rsidRDefault="003B26D1" w:rsidP="00C82080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0B14D4" w:rsidRDefault="003B26D1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BF3D63">
              <w:rPr>
                <w:sz w:val="24"/>
                <w:szCs w:val="24"/>
              </w:rPr>
              <w:t>02 лютого 2022 року</w:t>
            </w:r>
            <w:r w:rsidRPr="000B14D4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8 год. 3</w:t>
            </w:r>
            <w:r w:rsidRPr="000B14D4">
              <w:rPr>
                <w:sz w:val="24"/>
                <w:szCs w:val="24"/>
              </w:rPr>
              <w:t xml:space="preserve">0 хв. </w:t>
            </w:r>
          </w:p>
          <w:p w:rsidR="003B26D1" w:rsidRPr="000B14D4" w:rsidRDefault="003B26D1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3B26D1" w:rsidRPr="00C82080" w:rsidRDefault="003B26D1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3B26D1" w:rsidRPr="00C82080" w:rsidRDefault="003B26D1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  <w:shd w:val="clear" w:color="auto" w:fill="FFFFFF"/>
              </w:rPr>
              <w:t>м. Чернігів, проспект Перемоги, 141</w:t>
            </w:r>
            <w:r w:rsidRPr="00C82080">
              <w:rPr>
                <w:sz w:val="24"/>
                <w:szCs w:val="24"/>
              </w:rPr>
              <w:t xml:space="preserve"> (проведення тестування за фізичної присутності кандидатів)</w:t>
            </w:r>
          </w:p>
          <w:p w:rsidR="003B26D1" w:rsidRPr="00C82080" w:rsidRDefault="003B26D1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3B26D1" w:rsidRPr="00C82080" w:rsidRDefault="003B26D1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  <w:shd w:val="clear" w:color="auto" w:fill="FFFFFF"/>
              </w:rPr>
              <w:t>м. Чернігів, проспект Перемоги, 141</w:t>
            </w:r>
            <w:r w:rsidRPr="00C82080">
              <w:rPr>
                <w:sz w:val="24"/>
                <w:szCs w:val="24"/>
              </w:rPr>
              <w:t xml:space="preserve"> (проведення співбесіди за фізичної присутності кандидатів)</w:t>
            </w:r>
          </w:p>
        </w:tc>
      </w:tr>
      <w:tr w:rsidR="003B26D1" w:rsidRPr="00DC5144" w:rsidTr="00BD1318">
        <w:trPr>
          <w:trHeight w:val="463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DC5144" w:rsidRDefault="003B26D1" w:rsidP="00DC5144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DC5144">
              <w:rPr>
                <w:sz w:val="24"/>
                <w:szCs w:val="24"/>
                <w:shd w:val="clear" w:color="auto" w:fill="FFFFFF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C82080" w:rsidRDefault="003B26D1" w:rsidP="00DC5144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C82080">
              <w:rPr>
                <w:sz w:val="24"/>
                <w:szCs w:val="24"/>
                <w:shd w:val="clear" w:color="auto" w:fill="FFFFFF"/>
              </w:rPr>
              <w:t>м. Чернігів, проспект Перемоги, 141</w:t>
            </w:r>
            <w:r w:rsidRPr="00C82080">
              <w:rPr>
                <w:sz w:val="24"/>
                <w:szCs w:val="24"/>
              </w:rPr>
              <w:t xml:space="preserve"> (проведення </w:t>
            </w:r>
            <w:r>
              <w:rPr>
                <w:sz w:val="24"/>
                <w:szCs w:val="24"/>
              </w:rPr>
              <w:t xml:space="preserve">співбесіди </w:t>
            </w:r>
            <w:r w:rsidRPr="00C82080">
              <w:rPr>
                <w:sz w:val="24"/>
                <w:szCs w:val="24"/>
              </w:rPr>
              <w:t xml:space="preserve"> за фізичної присутності кандидатів)</w:t>
            </w:r>
          </w:p>
          <w:p w:rsidR="003B26D1" w:rsidRPr="00DC5144" w:rsidRDefault="003B26D1" w:rsidP="00DC5144">
            <w:pPr>
              <w:spacing w:after="20"/>
              <w:ind w:left="187" w:right="125" w:firstLine="0"/>
              <w:jc w:val="left"/>
              <w:rPr>
                <w:sz w:val="24"/>
                <w:szCs w:val="24"/>
              </w:rPr>
            </w:pPr>
          </w:p>
        </w:tc>
      </w:tr>
      <w:tr w:rsidR="003B26D1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9E0E89">
            <w:pPr>
              <w:ind w:left="269" w:firstLine="0"/>
              <w:jc w:val="left"/>
              <w:rPr>
                <w:sz w:val="24"/>
                <w:szCs w:val="24"/>
              </w:rPr>
            </w:pPr>
            <w:r w:rsidRPr="008A5E8D">
              <w:rPr>
                <w:sz w:val="24"/>
                <w:szCs w:val="24"/>
              </w:rPr>
              <w:t>Мажуга Ірина Василівна,</w:t>
            </w:r>
            <w:r w:rsidRPr="0052152C">
              <w:rPr>
                <w:sz w:val="24"/>
                <w:szCs w:val="24"/>
              </w:rPr>
              <w:t xml:space="preserve"> 0462 674346, іnbox@ds.cn.court.gov.ua</w:t>
            </w:r>
            <w:r w:rsidRPr="0052152C">
              <w:rPr>
                <w:sz w:val="24"/>
                <w:szCs w:val="24"/>
              </w:rPr>
              <w:tab/>
            </w:r>
          </w:p>
          <w:p w:rsidR="003B26D1" w:rsidRPr="0052152C" w:rsidRDefault="003B26D1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</w:p>
        </w:tc>
      </w:tr>
      <w:tr w:rsidR="003B26D1" w:rsidRPr="00DA182A" w:rsidTr="00BD1318">
        <w:trPr>
          <w:trHeight w:val="87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Кваліфікаційні вимоги</w:t>
            </w:r>
          </w:p>
        </w:tc>
      </w:tr>
      <w:tr w:rsidR="003B26D1" w:rsidRPr="00DA182A" w:rsidTr="00BD1318">
        <w:trPr>
          <w:trHeight w:val="385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220E57">
            <w:pPr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066F3D">
              <w:rPr>
                <w:color w:val="000000"/>
                <w:sz w:val="24"/>
                <w:szCs w:val="24"/>
              </w:rPr>
              <w:t>вища освіта за спеціальністю/галуззю знань «Право», «Правознавство» або «Правоохоронна діяльність» зі ступенем не нижче бакалавра, молодшого бакалавра</w:t>
            </w:r>
          </w:p>
        </w:tc>
      </w:tr>
      <w:tr w:rsidR="003B26D1" w:rsidRPr="00DA182A" w:rsidTr="00BD1318">
        <w:trPr>
          <w:trHeight w:val="181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left="118" w:right="26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Досвід роботи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не потребує</w:t>
            </w:r>
          </w:p>
        </w:tc>
      </w:tr>
      <w:tr w:rsidR="003B26D1" w:rsidRPr="00DA182A" w:rsidTr="00BD1318">
        <w:trPr>
          <w:trHeight w:val="569"/>
        </w:trPr>
        <w:tc>
          <w:tcPr>
            <w:tcW w:w="29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Default="003B26D1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вільне володіння державною мовою</w:t>
            </w:r>
          </w:p>
          <w:p w:rsidR="003B26D1" w:rsidRPr="0052152C" w:rsidRDefault="003B26D1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</w:p>
        </w:tc>
      </w:tr>
      <w:tr w:rsidR="003B26D1" w:rsidRPr="00DA182A" w:rsidTr="00BD1318">
        <w:trPr>
          <w:trHeight w:val="339"/>
        </w:trPr>
        <w:tc>
          <w:tcPr>
            <w:tcW w:w="29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9E0E89">
            <w:pPr>
              <w:spacing w:after="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9E0E89">
            <w:pPr>
              <w:spacing w:after="20"/>
              <w:ind w:left="118" w:right="100" w:hanging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9E0E89">
            <w:pPr>
              <w:spacing w:after="20"/>
              <w:ind w:left="187" w:right="125" w:firstLine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потребує</w:t>
            </w:r>
          </w:p>
        </w:tc>
      </w:tr>
      <w:tr w:rsidR="003B26D1" w:rsidRPr="00DA182A" w:rsidTr="00BD1318">
        <w:trPr>
          <w:trHeight w:val="257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right="270" w:firstLine="0"/>
              <w:jc w:val="center"/>
              <w:rPr>
                <w:b/>
                <w:color w:val="000000"/>
                <w:sz w:val="24"/>
                <w:szCs w:val="24"/>
              </w:rPr>
            </w:pPr>
            <w:hyperlink r:id="rId7">
              <w:r w:rsidRPr="0052152C">
                <w:rPr>
                  <w:b/>
                  <w:color w:val="000000"/>
                  <w:sz w:val="24"/>
                  <w:szCs w:val="24"/>
                </w:rPr>
                <w:t>Вимоги до компетентності</w:t>
              </w:r>
            </w:hyperlink>
          </w:p>
        </w:tc>
      </w:tr>
      <w:tr w:rsidR="003B26D1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Компоненти вимоги</w:t>
            </w:r>
          </w:p>
        </w:tc>
      </w:tr>
      <w:tr w:rsidR="003B26D1" w:rsidRPr="00DA182A" w:rsidTr="00BD1318">
        <w:trPr>
          <w:trHeight w:val="400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BA225C" w:rsidRDefault="003B26D1" w:rsidP="0052152C">
            <w:pPr>
              <w:spacing w:after="20"/>
              <w:ind w:left="118" w:firstLine="0"/>
              <w:jc w:val="left"/>
              <w:rPr>
                <w:sz w:val="24"/>
                <w:szCs w:val="24"/>
              </w:rPr>
            </w:pPr>
            <w:r w:rsidRPr="00BA225C">
              <w:rPr>
                <w:sz w:val="24"/>
                <w:szCs w:val="24"/>
              </w:rPr>
              <w:t>Цифрова грамотність</w:t>
            </w:r>
          </w:p>
          <w:p w:rsidR="003B26D1" w:rsidRPr="00BA225C" w:rsidRDefault="003B26D1" w:rsidP="0052152C">
            <w:pPr>
              <w:spacing w:after="20"/>
              <w:ind w:left="118" w:firstLine="0"/>
              <w:jc w:val="left"/>
              <w:rPr>
                <w:sz w:val="24"/>
                <w:szCs w:val="24"/>
              </w:rPr>
            </w:pPr>
          </w:p>
          <w:p w:rsidR="003B26D1" w:rsidRPr="00BA225C" w:rsidRDefault="003B26D1" w:rsidP="0052152C">
            <w:pPr>
              <w:spacing w:after="20"/>
              <w:ind w:left="118" w:firstLine="0"/>
              <w:jc w:val="left"/>
              <w:rPr>
                <w:sz w:val="24"/>
                <w:szCs w:val="24"/>
              </w:rPr>
            </w:pPr>
          </w:p>
          <w:p w:rsidR="003B26D1" w:rsidRPr="00BA225C" w:rsidRDefault="003B26D1" w:rsidP="0052152C">
            <w:pPr>
              <w:spacing w:after="20"/>
              <w:ind w:left="11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Default="003B26D1" w:rsidP="00920730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3B26D1" w:rsidRDefault="003B26D1" w:rsidP="00920730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3B26D1" w:rsidRPr="0052152C" w:rsidRDefault="003B26D1" w:rsidP="00920730">
            <w:pPr>
              <w:tabs>
                <w:tab w:val="left" w:pos="470"/>
              </w:tabs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типів.</w:t>
            </w:r>
          </w:p>
        </w:tc>
      </w:tr>
      <w:tr w:rsidR="003B26D1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BA225C" w:rsidRDefault="003B26D1" w:rsidP="0052152C">
            <w:pPr>
              <w:spacing w:after="20"/>
              <w:ind w:left="110" w:firstLine="0"/>
              <w:jc w:val="left"/>
              <w:rPr>
                <w:sz w:val="24"/>
                <w:szCs w:val="24"/>
              </w:rPr>
            </w:pPr>
            <w:r w:rsidRPr="00BA225C">
              <w:rPr>
                <w:sz w:val="24"/>
                <w:szCs w:val="24"/>
              </w:rPr>
              <w:t>Відповідальність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tabs>
                <w:tab w:val="left" w:pos="470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3B26D1" w:rsidRPr="0052152C" w:rsidRDefault="003B26D1" w:rsidP="0052152C">
            <w:pPr>
              <w:tabs>
                <w:tab w:val="left" w:pos="553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3B26D1" w:rsidRPr="0052152C" w:rsidRDefault="003B26D1" w:rsidP="0052152C">
            <w:pPr>
              <w:tabs>
                <w:tab w:val="left" w:pos="553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здатність брати на себе зобов’язання, чітко їх дотримуватись і виконувати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B26D1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BA225C" w:rsidRDefault="003B26D1" w:rsidP="0052152C">
            <w:pPr>
              <w:tabs>
                <w:tab w:val="left" w:pos="1903"/>
              </w:tabs>
              <w:ind w:right="106" w:firstLine="0"/>
              <w:jc w:val="left"/>
              <w:rPr>
                <w:sz w:val="24"/>
                <w:szCs w:val="24"/>
              </w:rPr>
            </w:pPr>
            <w:r w:rsidRPr="00BA225C">
              <w:rPr>
                <w:sz w:val="24"/>
                <w:szCs w:val="24"/>
              </w:rPr>
              <w:t>Досягнення результатів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C71261">
            <w:pPr>
              <w:tabs>
                <w:tab w:val="left" w:pos="470"/>
              </w:tabs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здатність до чіткого бачення результату діяльності;</w:t>
            </w:r>
          </w:p>
          <w:p w:rsidR="003B26D1" w:rsidRPr="0052152C" w:rsidRDefault="003B26D1" w:rsidP="00C71261">
            <w:pPr>
              <w:tabs>
                <w:tab w:val="left" w:pos="470"/>
              </w:tabs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вміння фокусувати зусилля для досягнення результату діяльності;</w:t>
            </w:r>
          </w:p>
          <w:p w:rsidR="003B26D1" w:rsidRPr="00BD1318" w:rsidRDefault="003B26D1" w:rsidP="00C71261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вміння запобігати та ефективно долати перешкоди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3B26D1" w:rsidRPr="00DA182A" w:rsidTr="00BD1318">
        <w:trPr>
          <w:trHeight w:val="55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Професійні знання</w:t>
            </w:r>
          </w:p>
        </w:tc>
      </w:tr>
      <w:tr w:rsidR="003B26D1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Компоненти вимоги</w:t>
            </w:r>
          </w:p>
        </w:tc>
      </w:tr>
      <w:tr w:rsidR="003B26D1" w:rsidRPr="00DA182A" w:rsidTr="00BD1318">
        <w:trPr>
          <w:trHeight w:val="87"/>
        </w:trPr>
        <w:tc>
          <w:tcPr>
            <w:tcW w:w="294" w:type="dxa"/>
          </w:tcPr>
          <w:p w:rsidR="003B26D1" w:rsidRPr="0052152C" w:rsidRDefault="003B26D1" w:rsidP="00951D1C">
            <w:pPr>
              <w:spacing w:after="20"/>
              <w:ind w:left="-100" w:right="-1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152C">
              <w:rPr>
                <w:sz w:val="24"/>
                <w:szCs w:val="24"/>
              </w:rPr>
              <w:t>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26D1" w:rsidRPr="00BA225C" w:rsidRDefault="003B26D1" w:rsidP="0052152C">
            <w:pPr>
              <w:spacing w:after="20"/>
              <w:ind w:left="120" w:firstLine="0"/>
              <w:jc w:val="left"/>
              <w:rPr>
                <w:sz w:val="24"/>
                <w:szCs w:val="24"/>
              </w:rPr>
            </w:pPr>
            <w:r w:rsidRPr="00BA225C">
              <w:rPr>
                <w:sz w:val="24"/>
                <w:szCs w:val="24"/>
              </w:rPr>
              <w:t>Знання законодавства</w:t>
            </w:r>
          </w:p>
        </w:tc>
        <w:tc>
          <w:tcPr>
            <w:tcW w:w="66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Знання:</w:t>
            </w:r>
          </w:p>
          <w:p w:rsidR="003B26D1" w:rsidRPr="0052152C" w:rsidRDefault="003B26D1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Конституції України;</w:t>
            </w:r>
          </w:p>
          <w:p w:rsidR="003B26D1" w:rsidRPr="0052152C" w:rsidRDefault="003B26D1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Закону України «Про державну службу»;</w:t>
            </w:r>
          </w:p>
          <w:p w:rsidR="003B26D1" w:rsidRPr="0052152C" w:rsidRDefault="003B26D1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Закону України «Про запобігання корупції»</w:t>
            </w:r>
          </w:p>
          <w:p w:rsidR="003B26D1" w:rsidRPr="0052152C" w:rsidRDefault="003B26D1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та іншого законодавства</w:t>
            </w:r>
          </w:p>
        </w:tc>
      </w:tr>
      <w:tr w:rsidR="003B26D1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2</w:t>
            </w:r>
            <w:r w:rsidRPr="0052152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BA225C" w:rsidRDefault="003B26D1" w:rsidP="0052152C">
            <w:pPr>
              <w:spacing w:after="20"/>
              <w:ind w:left="118" w:firstLine="0"/>
              <w:jc w:val="left"/>
              <w:rPr>
                <w:sz w:val="24"/>
                <w:szCs w:val="24"/>
              </w:rPr>
            </w:pPr>
            <w:r w:rsidRPr="00BA225C">
              <w:rPr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6D1" w:rsidRPr="0052152C" w:rsidRDefault="003B26D1" w:rsidP="0052152C">
            <w:pPr>
              <w:ind w:left="127" w:firstLine="0"/>
              <w:rPr>
                <w:color w:val="000000"/>
              </w:rPr>
            </w:pPr>
            <w:r w:rsidRPr="0052152C">
              <w:rPr>
                <w:color w:val="000000"/>
                <w:sz w:val="24"/>
                <w:szCs w:val="24"/>
              </w:rPr>
              <w:t>Знання</w:t>
            </w:r>
            <w:r w:rsidRPr="0052152C">
              <w:rPr>
                <w:color w:val="000000"/>
              </w:rPr>
              <w:t>:</w:t>
            </w:r>
          </w:p>
          <w:p w:rsidR="003B26D1" w:rsidRPr="0052152C" w:rsidRDefault="003B26D1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Процесуальних кодексів України;</w:t>
            </w:r>
          </w:p>
          <w:p w:rsidR="003B26D1" w:rsidRPr="0052152C" w:rsidRDefault="003B26D1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Положення про автоматизовану систему документообігу суду, затвердженого Рішенням Ради суддів України від 26.11.2010 № 30 (із змінами);</w:t>
            </w:r>
          </w:p>
          <w:p w:rsidR="003B26D1" w:rsidRPr="0052152C" w:rsidRDefault="003B26D1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 xml:space="preserve">Інструкції з діловодства в місцевих загальних та апеляційних судах України, затвердженої Наказом Державної судової адміністрації України від 20.08.2019 № 814 (із змінами); </w:t>
            </w:r>
          </w:p>
          <w:p w:rsidR="003B26D1" w:rsidRPr="0052152C" w:rsidRDefault="003B26D1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Інструкції про порядок роботи з технічними засобами фіксування судового процесу (судового засідання), затвердженої наказом Державної судової адміністрації України від 20.09.2012 № 108 (із змінами);</w:t>
            </w:r>
          </w:p>
          <w:p w:rsidR="003B26D1" w:rsidRPr="0052152C" w:rsidRDefault="003B26D1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Інструкції про порядок роботи з технічними засобами відеозапису ходу і результатів процесуальних дій, проведених у режимі відеоконференції під час судового засідання (кримінального провадження), затвердженої наказом Державної судової адміністрації України від 15.11.2012 № 155.</w:t>
            </w:r>
          </w:p>
        </w:tc>
      </w:tr>
    </w:tbl>
    <w:p w:rsidR="003B26D1" w:rsidRPr="00DA182A" w:rsidRDefault="003B26D1">
      <w:pPr>
        <w:ind w:firstLine="0"/>
        <w:jc w:val="left"/>
        <w:rPr>
          <w:sz w:val="24"/>
          <w:szCs w:val="24"/>
        </w:rPr>
      </w:pPr>
    </w:p>
    <w:p w:rsidR="003B26D1" w:rsidRPr="00DA182A" w:rsidRDefault="003B26D1">
      <w:pPr>
        <w:ind w:left="5669" w:right="13" w:firstLine="0"/>
        <w:jc w:val="left"/>
        <w:rPr>
          <w:sz w:val="24"/>
          <w:szCs w:val="24"/>
        </w:rPr>
      </w:pPr>
    </w:p>
    <w:p w:rsidR="003B26D1" w:rsidRPr="00DA182A" w:rsidRDefault="003B26D1">
      <w:pPr>
        <w:ind w:left="5669" w:right="13" w:firstLine="0"/>
        <w:jc w:val="left"/>
        <w:rPr>
          <w:sz w:val="24"/>
          <w:szCs w:val="24"/>
        </w:rPr>
      </w:pPr>
    </w:p>
    <w:p w:rsidR="003B26D1" w:rsidRPr="00DA182A" w:rsidRDefault="003B26D1">
      <w:pPr>
        <w:ind w:left="5669" w:right="13" w:firstLine="0"/>
        <w:jc w:val="left"/>
        <w:rPr>
          <w:sz w:val="24"/>
          <w:szCs w:val="24"/>
        </w:rPr>
      </w:pPr>
    </w:p>
    <w:sectPr w:rsidR="003B26D1" w:rsidRPr="00DA182A" w:rsidSect="005268D6">
      <w:headerReference w:type="default" r:id="rId8"/>
      <w:pgSz w:w="11906" w:h="16838"/>
      <w:pgMar w:top="567" w:right="709" w:bottom="567" w:left="1701" w:header="709" w:footer="64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6D1" w:rsidRDefault="003B26D1">
      <w:r>
        <w:separator/>
      </w:r>
    </w:p>
  </w:endnote>
  <w:endnote w:type="continuationSeparator" w:id="0">
    <w:p w:rsidR="003B26D1" w:rsidRDefault="003B2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6D1" w:rsidRDefault="003B26D1">
      <w:r>
        <w:separator/>
      </w:r>
    </w:p>
  </w:footnote>
  <w:footnote w:type="continuationSeparator" w:id="0">
    <w:p w:rsidR="003B26D1" w:rsidRDefault="003B2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6D1" w:rsidRDefault="003B26D1">
    <w:pPr>
      <w:jc w:val="center"/>
    </w:pPr>
    <w:fldSimple w:instr="PAGE">
      <w:r>
        <w:rPr>
          <w:noProof/>
        </w:rPr>
        <w:t>6</w:t>
      </w:r>
    </w:fldSimple>
  </w:p>
  <w:p w:rsidR="003B26D1" w:rsidRDefault="003B26D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>
    <w:nsid w:val="15BE3DD3"/>
    <w:multiLevelType w:val="multilevel"/>
    <w:tmpl w:val="0D7CBE9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>
    <w:nsid w:val="18A10B9E"/>
    <w:multiLevelType w:val="hybridMultilevel"/>
    <w:tmpl w:val="80829F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0A6C69"/>
    <w:multiLevelType w:val="hybridMultilevel"/>
    <w:tmpl w:val="57A6DE42"/>
    <w:lvl w:ilvl="0" w:tplc="B69046E0">
      <w:start w:val="1"/>
      <w:numFmt w:val="decimal"/>
      <w:lvlText w:val="%1."/>
      <w:lvlJc w:val="left"/>
      <w:pPr>
        <w:ind w:left="488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48" w:hanging="180"/>
      </w:pPr>
      <w:rPr>
        <w:rFonts w:cs="Times New Roman"/>
      </w:rPr>
    </w:lvl>
  </w:abstractNum>
  <w:abstractNum w:abstractNumId="4">
    <w:nsid w:val="23CF7064"/>
    <w:multiLevelType w:val="multilevel"/>
    <w:tmpl w:val="EB3E5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4B16069"/>
    <w:multiLevelType w:val="multilevel"/>
    <w:tmpl w:val="BCA0BC0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6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Times New Roman" w:hAnsi="Noto Sans Symbols"/>
      </w:rPr>
    </w:lvl>
  </w:abstractNum>
  <w:abstractNum w:abstractNumId="7">
    <w:nsid w:val="30E62BAF"/>
    <w:multiLevelType w:val="hybridMultilevel"/>
    <w:tmpl w:val="80829F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D03789"/>
    <w:multiLevelType w:val="hybridMultilevel"/>
    <w:tmpl w:val="D5080F8E"/>
    <w:lvl w:ilvl="0" w:tplc="7F8EFE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2533B"/>
    <w:multiLevelType w:val="multilevel"/>
    <w:tmpl w:val="74EC1C8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0">
    <w:nsid w:val="56EE35C0"/>
    <w:multiLevelType w:val="hybridMultilevel"/>
    <w:tmpl w:val="697404C2"/>
    <w:lvl w:ilvl="0" w:tplc="656A0C9E">
      <w:start w:val="1"/>
      <w:numFmt w:val="decimal"/>
      <w:lvlText w:val="%1)"/>
      <w:lvlJc w:val="left"/>
      <w:pPr>
        <w:ind w:left="4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  <w:rPr>
        <w:rFonts w:cs="Times New Roman"/>
      </w:rPr>
    </w:lvl>
  </w:abstractNum>
  <w:abstractNum w:abstractNumId="11">
    <w:nsid w:val="5C7C3EB8"/>
    <w:multiLevelType w:val="multilevel"/>
    <w:tmpl w:val="D7FEBEC0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2">
    <w:nsid w:val="63D40843"/>
    <w:multiLevelType w:val="hybridMultilevel"/>
    <w:tmpl w:val="0178BF6A"/>
    <w:lvl w:ilvl="0" w:tplc="C846995C">
      <w:numFmt w:val="bullet"/>
      <w:lvlText w:val="–"/>
      <w:lvlJc w:val="left"/>
      <w:pPr>
        <w:ind w:left="720" w:hanging="360"/>
      </w:pPr>
      <w:rPr>
        <w:rFonts w:ascii="HelveticaNeueCyr-Roman" w:eastAsia="Times New Roman" w:hAnsi="HelveticaNeueCyr-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E4C54"/>
    <w:multiLevelType w:val="multilevel"/>
    <w:tmpl w:val="CE089A7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4">
    <w:nsid w:val="6C7E6F5E"/>
    <w:multiLevelType w:val="hybridMultilevel"/>
    <w:tmpl w:val="2CBC7134"/>
    <w:lvl w:ilvl="0" w:tplc="6C184958">
      <w:start w:val="1"/>
      <w:numFmt w:val="decimal"/>
      <w:lvlText w:val="%1)"/>
      <w:lvlJc w:val="left"/>
      <w:pPr>
        <w:ind w:left="383" w:hanging="360"/>
      </w:pPr>
      <w:rPr>
        <w:rFonts w:ascii="Times New Roman" w:hAnsi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3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4"/>
  </w:num>
  <w:num w:numId="10">
    <w:abstractNumId w:val="10"/>
  </w:num>
  <w:num w:numId="11">
    <w:abstractNumId w:val="3"/>
  </w:num>
  <w:num w:numId="12">
    <w:abstractNumId w:val="12"/>
  </w:num>
  <w:num w:numId="13">
    <w:abstractNumId w:val="8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887"/>
    <w:rsid w:val="00002D8C"/>
    <w:rsid w:val="0001101E"/>
    <w:rsid w:val="0003408B"/>
    <w:rsid w:val="000475DC"/>
    <w:rsid w:val="00066F3D"/>
    <w:rsid w:val="000A590B"/>
    <w:rsid w:val="000B14D4"/>
    <w:rsid w:val="000C4463"/>
    <w:rsid w:val="000C7CF2"/>
    <w:rsid w:val="000D3713"/>
    <w:rsid w:val="000D3B9D"/>
    <w:rsid w:val="000F3FFD"/>
    <w:rsid w:val="000F72A1"/>
    <w:rsid w:val="001A20B3"/>
    <w:rsid w:val="001C0B8E"/>
    <w:rsid w:val="001E1D13"/>
    <w:rsid w:val="001E2ECD"/>
    <w:rsid w:val="002075A2"/>
    <w:rsid w:val="00220876"/>
    <w:rsid w:val="00220E57"/>
    <w:rsid w:val="002426F7"/>
    <w:rsid w:val="00260A79"/>
    <w:rsid w:val="002D03EB"/>
    <w:rsid w:val="002D13AA"/>
    <w:rsid w:val="002D78F7"/>
    <w:rsid w:val="003061B7"/>
    <w:rsid w:val="00332E32"/>
    <w:rsid w:val="00343D0D"/>
    <w:rsid w:val="0035699C"/>
    <w:rsid w:val="00366882"/>
    <w:rsid w:val="003A1732"/>
    <w:rsid w:val="003B26D1"/>
    <w:rsid w:val="003C484A"/>
    <w:rsid w:val="003E79F5"/>
    <w:rsid w:val="003F24A1"/>
    <w:rsid w:val="004465B3"/>
    <w:rsid w:val="00482E37"/>
    <w:rsid w:val="004E6C65"/>
    <w:rsid w:val="00500109"/>
    <w:rsid w:val="00516E9A"/>
    <w:rsid w:val="0052152C"/>
    <w:rsid w:val="005268D6"/>
    <w:rsid w:val="00547039"/>
    <w:rsid w:val="00573DBA"/>
    <w:rsid w:val="0058596C"/>
    <w:rsid w:val="005C6C0A"/>
    <w:rsid w:val="005C6D08"/>
    <w:rsid w:val="005D1BD0"/>
    <w:rsid w:val="005E3ED6"/>
    <w:rsid w:val="005F298B"/>
    <w:rsid w:val="0063631F"/>
    <w:rsid w:val="00654761"/>
    <w:rsid w:val="00691959"/>
    <w:rsid w:val="006A2420"/>
    <w:rsid w:val="006B5061"/>
    <w:rsid w:val="00706981"/>
    <w:rsid w:val="00717208"/>
    <w:rsid w:val="00734B03"/>
    <w:rsid w:val="007B18B9"/>
    <w:rsid w:val="007C1242"/>
    <w:rsid w:val="007C50E3"/>
    <w:rsid w:val="007D6DF0"/>
    <w:rsid w:val="007E1B58"/>
    <w:rsid w:val="007E656F"/>
    <w:rsid w:val="00814089"/>
    <w:rsid w:val="00823AB6"/>
    <w:rsid w:val="008502A3"/>
    <w:rsid w:val="008601A9"/>
    <w:rsid w:val="00866107"/>
    <w:rsid w:val="00867412"/>
    <w:rsid w:val="00875A66"/>
    <w:rsid w:val="008767E7"/>
    <w:rsid w:val="00883469"/>
    <w:rsid w:val="008A3563"/>
    <w:rsid w:val="008A5E8D"/>
    <w:rsid w:val="008B14C6"/>
    <w:rsid w:val="008C0795"/>
    <w:rsid w:val="008C1671"/>
    <w:rsid w:val="008D79DB"/>
    <w:rsid w:val="009142D6"/>
    <w:rsid w:val="00920730"/>
    <w:rsid w:val="00924785"/>
    <w:rsid w:val="0093782C"/>
    <w:rsid w:val="00951D1C"/>
    <w:rsid w:val="009705C8"/>
    <w:rsid w:val="00972B00"/>
    <w:rsid w:val="0097522E"/>
    <w:rsid w:val="00981398"/>
    <w:rsid w:val="009905E1"/>
    <w:rsid w:val="009A371D"/>
    <w:rsid w:val="009B659F"/>
    <w:rsid w:val="009C28C1"/>
    <w:rsid w:val="009D12F8"/>
    <w:rsid w:val="009E0E89"/>
    <w:rsid w:val="00A268E4"/>
    <w:rsid w:val="00A330A1"/>
    <w:rsid w:val="00A407F0"/>
    <w:rsid w:val="00A71C78"/>
    <w:rsid w:val="00A8205D"/>
    <w:rsid w:val="00AA1FBE"/>
    <w:rsid w:val="00AA37D4"/>
    <w:rsid w:val="00AA659E"/>
    <w:rsid w:val="00AB647E"/>
    <w:rsid w:val="00B06445"/>
    <w:rsid w:val="00B804DD"/>
    <w:rsid w:val="00BA225C"/>
    <w:rsid w:val="00BD1318"/>
    <w:rsid w:val="00BE1C81"/>
    <w:rsid w:val="00BF3D63"/>
    <w:rsid w:val="00C25308"/>
    <w:rsid w:val="00C52AAA"/>
    <w:rsid w:val="00C61B2D"/>
    <w:rsid w:val="00C71261"/>
    <w:rsid w:val="00C77859"/>
    <w:rsid w:val="00C82080"/>
    <w:rsid w:val="00C9581B"/>
    <w:rsid w:val="00C95EFC"/>
    <w:rsid w:val="00CB7EBB"/>
    <w:rsid w:val="00CC7848"/>
    <w:rsid w:val="00CE5CF3"/>
    <w:rsid w:val="00D0026F"/>
    <w:rsid w:val="00D02597"/>
    <w:rsid w:val="00D6297A"/>
    <w:rsid w:val="00D950B5"/>
    <w:rsid w:val="00DA182A"/>
    <w:rsid w:val="00DA3511"/>
    <w:rsid w:val="00DA5EC8"/>
    <w:rsid w:val="00DA6815"/>
    <w:rsid w:val="00DB21FF"/>
    <w:rsid w:val="00DC5144"/>
    <w:rsid w:val="00DE0EBB"/>
    <w:rsid w:val="00DE3491"/>
    <w:rsid w:val="00DE461B"/>
    <w:rsid w:val="00DF4B5E"/>
    <w:rsid w:val="00E04887"/>
    <w:rsid w:val="00E71A3C"/>
    <w:rsid w:val="00EC7B3B"/>
    <w:rsid w:val="00EE4084"/>
    <w:rsid w:val="00EF249E"/>
    <w:rsid w:val="00F33C29"/>
    <w:rsid w:val="00FE3681"/>
    <w:rsid w:val="00FF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89"/>
    <w:pPr>
      <w:ind w:firstLine="709"/>
      <w:jc w:val="both"/>
    </w:pPr>
    <w:rPr>
      <w:sz w:val="28"/>
      <w:szCs w:val="28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4089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4089"/>
    <w:pPr>
      <w:ind w:firstLine="0"/>
      <w:jc w:val="left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4089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4089"/>
    <w:pPr>
      <w:keepNext/>
      <w:keepLines/>
      <w:spacing w:before="240" w:after="4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4089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14089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6D08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6D08"/>
    <w:rPr>
      <w:rFonts w:ascii="Cambria" w:hAnsi="Cambria" w:cs="Times New Roman"/>
      <w:b/>
      <w:i/>
      <w:sz w:val="28"/>
      <w:lang w:val="uk-UA" w:eastAsia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6D08"/>
    <w:rPr>
      <w:rFonts w:ascii="Cambria" w:hAnsi="Cambria" w:cs="Times New Roman"/>
      <w:b/>
      <w:sz w:val="26"/>
      <w:lang w:val="uk-UA" w:eastAsia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C6D08"/>
    <w:rPr>
      <w:rFonts w:ascii="Calibri" w:hAnsi="Calibri" w:cs="Times New Roman"/>
      <w:b/>
      <w:sz w:val="28"/>
      <w:lang w:val="uk-UA" w:eastAsia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C6D08"/>
    <w:rPr>
      <w:rFonts w:ascii="Calibri" w:hAnsi="Calibri" w:cs="Times New Roman"/>
      <w:b/>
      <w:i/>
      <w:sz w:val="26"/>
      <w:lang w:val="uk-UA" w:eastAsia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C6D08"/>
    <w:rPr>
      <w:rFonts w:ascii="Calibri" w:hAnsi="Calibri" w:cs="Times New Roman"/>
      <w:b/>
      <w:lang w:val="uk-UA" w:eastAsia="uk-UA"/>
    </w:rPr>
  </w:style>
  <w:style w:type="table" w:customStyle="1" w:styleId="TableNormal1">
    <w:name w:val="Table Normal1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814089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C6D08"/>
    <w:rPr>
      <w:rFonts w:ascii="Cambria" w:hAnsi="Cambria" w:cs="Times New Roman"/>
      <w:b/>
      <w:kern w:val="28"/>
      <w:sz w:val="32"/>
      <w:lang w:val="uk-UA" w:eastAsia="uk-UA"/>
    </w:rPr>
  </w:style>
  <w:style w:type="table" w:customStyle="1" w:styleId="TableNormal2">
    <w:name w:val="Table Normal2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814089"/>
    <w:pPr>
      <w:keepNext/>
      <w:keepLines/>
      <w:spacing w:before="360" w:after="80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C6D08"/>
    <w:rPr>
      <w:rFonts w:ascii="Cambria" w:hAnsi="Cambria" w:cs="Times New Roman"/>
      <w:sz w:val="24"/>
      <w:lang w:val="uk-UA" w:eastAsia="uk-UA"/>
    </w:rPr>
  </w:style>
  <w:style w:type="table" w:customStyle="1" w:styleId="a">
    <w:name w:val="Стиль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rsid w:val="00972B00"/>
    <w:pPr>
      <w:tabs>
        <w:tab w:val="center" w:pos="4677"/>
        <w:tab w:val="right" w:pos="9355"/>
      </w:tabs>
    </w:pPr>
    <w:rPr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72B0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72B00"/>
    <w:pPr>
      <w:tabs>
        <w:tab w:val="center" w:pos="4677"/>
        <w:tab w:val="right" w:pos="9355"/>
      </w:tabs>
    </w:pPr>
    <w:rPr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2B0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72B00"/>
    <w:rPr>
      <w:rFonts w:ascii="Segoe UI" w:hAnsi="Segoe UI"/>
      <w:sz w:val="18"/>
      <w:szCs w:val="18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2B00"/>
    <w:rPr>
      <w:rFonts w:ascii="Segoe UI" w:hAnsi="Segoe UI" w:cs="Times New Roman"/>
      <w:sz w:val="18"/>
    </w:rPr>
  </w:style>
  <w:style w:type="table" w:customStyle="1" w:styleId="10">
    <w:name w:val="Стиль10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814089"/>
    <w:rPr>
      <w:sz w:val="20"/>
      <w:szCs w:val="20"/>
      <w:lang w:val="en-US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14089"/>
    <w:rPr>
      <w:rFonts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rsid w:val="0081408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2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72B00"/>
    <w:rPr>
      <w:b/>
    </w:rPr>
  </w:style>
  <w:style w:type="table" w:customStyle="1" w:styleId="6">
    <w:name w:val="Стиль6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Стиль5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Стиль4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Стиль3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Стиль2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Стиль1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12">
    <w:name w:val="Основний текст + 12"/>
    <w:aliases w:val="5 pt"/>
    <w:uiPriority w:val="99"/>
    <w:rsid w:val="005F298B"/>
    <w:rPr>
      <w:rFonts w:ascii="Times New Roman" w:hAnsi="Times New Roman"/>
      <w:b/>
      <w:i/>
      <w:spacing w:val="0"/>
      <w:sz w:val="25"/>
    </w:rPr>
  </w:style>
  <w:style w:type="paragraph" w:styleId="ListParagraph">
    <w:name w:val="List Paragraph"/>
    <w:basedOn w:val="Normal"/>
    <w:uiPriority w:val="99"/>
    <w:qFormat/>
    <w:rsid w:val="00A8205D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rvps2">
    <w:name w:val="rvps2"/>
    <w:basedOn w:val="Normal"/>
    <w:uiPriority w:val="99"/>
    <w:rsid w:val="00C2530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C2530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196</TotalTime>
  <Pages>6</Pages>
  <Words>1724</Words>
  <Characters>9827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Тимченко</dc:creator>
  <cp:keywords/>
  <dc:description/>
  <cp:lastModifiedBy>Лида</cp:lastModifiedBy>
  <cp:revision>37</cp:revision>
  <cp:lastPrinted>2022-01-20T10:28:00Z</cp:lastPrinted>
  <dcterms:created xsi:type="dcterms:W3CDTF">2021-04-02T10:12:00Z</dcterms:created>
  <dcterms:modified xsi:type="dcterms:W3CDTF">2022-01-20T10:40:00Z</dcterms:modified>
</cp:coreProperties>
</file>