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AB" w:rsidRDefault="00D328AB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D328AB" w:rsidRPr="00DA182A" w:rsidRDefault="00D328AB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D328AB" w:rsidRPr="00DA182A" w:rsidRDefault="00D328AB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D328AB" w:rsidRPr="005B1CD7" w:rsidRDefault="00D328AB">
      <w:pPr>
        <w:ind w:left="5670" w:firstLine="0"/>
        <w:jc w:val="left"/>
        <w:rPr>
          <w:sz w:val="24"/>
          <w:szCs w:val="24"/>
        </w:rPr>
      </w:pPr>
      <w:r w:rsidRPr="003A11EE">
        <w:rPr>
          <w:sz w:val="24"/>
          <w:szCs w:val="24"/>
        </w:rPr>
        <w:t xml:space="preserve">від </w:t>
      </w:r>
      <w:r w:rsidRPr="005B1CD7">
        <w:rPr>
          <w:sz w:val="24"/>
          <w:szCs w:val="24"/>
        </w:rPr>
        <w:t>1</w:t>
      </w:r>
      <w:r w:rsidRPr="005B1CD7">
        <w:rPr>
          <w:sz w:val="24"/>
          <w:szCs w:val="24"/>
          <w:lang w:val="ru-RU"/>
        </w:rPr>
        <w:t>8</w:t>
      </w:r>
      <w:r w:rsidRPr="005B1CD7">
        <w:rPr>
          <w:sz w:val="24"/>
          <w:szCs w:val="24"/>
        </w:rPr>
        <w:t xml:space="preserve"> червня 2021 року № 141-д/к</w:t>
      </w:r>
    </w:p>
    <w:p w:rsidR="00D328AB" w:rsidRPr="003A11EE" w:rsidRDefault="00D328AB">
      <w:pPr>
        <w:ind w:left="5670" w:firstLine="0"/>
        <w:jc w:val="center"/>
        <w:rPr>
          <w:b/>
          <w:sz w:val="24"/>
          <w:szCs w:val="24"/>
        </w:rPr>
      </w:pPr>
    </w:p>
    <w:p w:rsidR="00D328AB" w:rsidRPr="003A11EE" w:rsidRDefault="00D328AB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3A11EE">
        <w:rPr>
          <w:sz w:val="24"/>
          <w:szCs w:val="24"/>
        </w:rPr>
        <w:t>УМОВИ</w:t>
      </w:r>
      <w:r w:rsidRPr="003A11EE">
        <w:rPr>
          <w:sz w:val="24"/>
          <w:szCs w:val="24"/>
        </w:rPr>
        <w:br/>
        <w:t>проведення конкурсу</w:t>
      </w:r>
    </w:p>
    <w:p w:rsidR="00D328AB" w:rsidRPr="00DA182A" w:rsidRDefault="00D328AB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3A11EE">
        <w:rPr>
          <w:sz w:val="24"/>
          <w:szCs w:val="24"/>
        </w:rPr>
        <w:t xml:space="preserve">на зайняття посади державної служби категорії «В» – </w:t>
      </w:r>
      <w:r>
        <w:rPr>
          <w:sz w:val="24"/>
          <w:szCs w:val="24"/>
        </w:rPr>
        <w:t>головного спеціаліста</w:t>
      </w:r>
      <w:r w:rsidRPr="003A11EE">
        <w:rPr>
          <w:sz w:val="24"/>
          <w:szCs w:val="24"/>
        </w:rPr>
        <w:t xml:space="preserve"> Деснянського</w:t>
      </w:r>
      <w:r>
        <w:rPr>
          <w:sz w:val="24"/>
          <w:szCs w:val="24"/>
        </w:rPr>
        <w:t xml:space="preserve"> районного суду м. Чернігова</w:t>
      </w:r>
    </w:p>
    <w:p w:rsidR="00D328AB" w:rsidRPr="00DA182A" w:rsidRDefault="00D328AB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D328AB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D328AB" w:rsidRPr="00DA182A" w:rsidTr="009878EF">
        <w:trPr>
          <w:gridAfter w:val="1"/>
          <w:wAfter w:w="12" w:type="dxa"/>
          <w:trHeight w:val="160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1A20B3" w:rsidRDefault="00D328A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E43F17" w:rsidRDefault="00D328AB" w:rsidP="00E43F17">
            <w:pPr>
              <w:numPr>
                <w:ilvl w:val="0"/>
                <w:numId w:val="32"/>
              </w:num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Здійснення заходів щодо реалізації державної політики з питань управління персоналом в суді: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забезпечення документального оформлення вступу на державну службу, її проходження та припинення, а також документальне оформлення зарахування до штату суддів та прийняття інших працівників апарату суду;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розроблення і взяття участі у розробленні проектів нормативно-правових актів, що стосуються питань управління персоналом, трудових відносин та державної служби;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здійснення роботи, пов’язаної із заповненням, веденням, обліком і зберіганням трудових книжок та особових справ (особових карток) працівників апарату суду та суддів;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обчислення стажу роботи суддям та працівникам апарату суду, у тому числі стажу державної служби;</w:t>
            </w:r>
          </w:p>
          <w:p w:rsidR="00D328AB" w:rsidRPr="00E43F17" w:rsidRDefault="00D328AB" w:rsidP="00E43F17">
            <w:pPr>
              <w:numPr>
                <w:ilvl w:val="0"/>
                <w:numId w:val="33"/>
              </w:numPr>
              <w:tabs>
                <w:tab w:val="left" w:pos="184"/>
              </w:tabs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здійснення контролю за додержанням законодавства про державну службу та про працю в суді;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організація складення Присяги державного службовця особою, яка вперше вступає на державну службу, оформлення документів про присвоєння відповідних рангів державним службовцям;</w:t>
            </w:r>
          </w:p>
          <w:p w:rsidR="00D328AB" w:rsidRPr="00E43F17" w:rsidRDefault="00D328AB" w:rsidP="00E43F17">
            <w:pPr>
              <w:tabs>
                <w:tab w:val="left" w:pos="184"/>
                <w:tab w:val="left" w:pos="326"/>
              </w:tabs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ознайомлення суддів та працівників апарату суду з правилами внутрішнього трудового розпорядку та внутрішнього службового розпорядку в суді, посадовими інструкціями та іншими документами, що стосуються питань управління персоналом;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оформлення та видання працівникам апарату суду службових посвідчень;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забезпечення підготовки матеріалів щодо призначення на посади та звільнення (відрахування) з посад суддів та працівників апарату суду;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здійснення контролю за встановленням надбавок за вислугу років;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формування графіку відпусток суддів та працівників апарату суду, підготовка проекти наказів щодо надання відпусток, здійснення контролю та ведення відповідного обліку;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>– оформлення і видача довідок з місця роботи суддів та працівників апарату суду;</w:t>
            </w:r>
          </w:p>
          <w:p w:rsidR="00D328AB" w:rsidRPr="00E43F17" w:rsidRDefault="00D328AB" w:rsidP="00E43F17">
            <w:pPr>
              <w:ind w:left="147" w:right="88" w:firstLine="0"/>
              <w:contextualSpacing/>
              <w:rPr>
                <w:color w:val="000000"/>
                <w:sz w:val="24"/>
                <w:szCs w:val="24"/>
              </w:rPr>
            </w:pPr>
            <w:r w:rsidRPr="00E43F17">
              <w:rPr>
                <w:color w:val="000000"/>
                <w:sz w:val="24"/>
                <w:szCs w:val="24"/>
              </w:rPr>
              <w:t xml:space="preserve">– опрацювання (облік) листків тимчасової непрацездатності та протоколів </w:t>
            </w:r>
            <w:r w:rsidRPr="00E43F17">
              <w:rPr>
                <w:color w:val="000000"/>
                <w:spacing w:val="-1"/>
                <w:sz w:val="24"/>
                <w:szCs w:val="24"/>
              </w:rPr>
              <w:t xml:space="preserve">засідань комісії </w:t>
            </w:r>
            <w:r w:rsidRPr="00E43F17">
              <w:rPr>
                <w:color w:val="000000"/>
                <w:spacing w:val="-2"/>
                <w:sz w:val="24"/>
                <w:szCs w:val="24"/>
              </w:rPr>
              <w:t>суду із соціального страхування</w:t>
            </w:r>
            <w:r w:rsidRPr="00E43F17">
              <w:rPr>
                <w:color w:val="000000"/>
                <w:sz w:val="24"/>
                <w:szCs w:val="24"/>
              </w:rPr>
              <w:t>;</w:t>
            </w:r>
          </w:p>
          <w:p w:rsidR="00D328AB" w:rsidRPr="00E43F17" w:rsidRDefault="00D328AB" w:rsidP="00E43F17">
            <w:pPr>
              <w:pStyle w:val="ListParagraph"/>
              <w:numPr>
                <w:ilvl w:val="0"/>
                <w:numId w:val="33"/>
              </w:numPr>
              <w:tabs>
                <w:tab w:val="left" w:pos="184"/>
                <w:tab w:val="left" w:pos="411"/>
              </w:tabs>
              <w:spacing w:after="0"/>
              <w:ind w:left="147" w:right="91" w:firstLine="0"/>
              <w:jc w:val="both"/>
              <w:rPr>
                <w:color w:val="000000"/>
              </w:rPr>
            </w:pPr>
            <w:r w:rsidRPr="00E43F17">
              <w:rPr>
                <w:rFonts w:ascii="Times New Roman" w:hAnsi="Times New Roman"/>
                <w:color w:val="000000"/>
                <w:sz w:val="24"/>
                <w:szCs w:val="24"/>
              </w:rPr>
              <w:t>ведення табелю обліку робочого часу суддів та працівників апарату суду, у тому числі в автоматизованій системі документообігу суду.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147" w:right="91" w:firstLine="0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Забезпечення здійснення керівником державної служби своїх повноважень з питань управління персоналом: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організація роботи щодо розробки структури суду;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опрацювання штатного розпису суду;</w:t>
            </w:r>
            <w:bookmarkStart w:id="0" w:name="n48"/>
            <w:bookmarkStart w:id="1" w:name="n49"/>
            <w:bookmarkEnd w:id="0"/>
            <w:bookmarkEnd w:id="1"/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розроблення посадових інструкцій працівників апарату суду, а також їх перегляд на відповідність встановленим законодавством вимогам та внесення керівнику апарату суду пропозицій щодо внесення змін до посадових інструкцій;</w:t>
            </w:r>
          </w:p>
          <w:p w:rsidR="00D328AB" w:rsidRPr="00176F16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забезпечення планування службової кар’єри, планомірного заміщення посад державної служби підготовленими фахівцями та стимулювання просування по службі та сумлінного виконання своїх посадових обов’язків;</w:t>
            </w:r>
          </w:p>
          <w:p w:rsidR="00D328AB" w:rsidRPr="00176F16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bookmarkStart w:id="2" w:name="n50"/>
            <w:bookmarkEnd w:id="2"/>
            <w:r w:rsidRPr="00176F16">
              <w:rPr>
                <w:color w:val="000000"/>
                <w:lang w:val="uk-UA"/>
              </w:rPr>
              <w:t>проведення роботи щодо стажування державних службовців та молоді;</w:t>
            </w:r>
          </w:p>
          <w:p w:rsidR="00D328AB" w:rsidRPr="00176F16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bookmarkStart w:id="3" w:name="n51"/>
            <w:bookmarkStart w:id="4" w:name="n52"/>
            <w:bookmarkEnd w:id="3"/>
            <w:bookmarkEnd w:id="4"/>
            <w:r w:rsidRPr="00176F16">
              <w:rPr>
                <w:color w:val="000000"/>
                <w:lang w:val="uk-UA"/>
              </w:rPr>
              <w:t>підготовка у межах компетенції розпорядчих документів про відрядження суддів та працівників апарату суду;</w:t>
            </w:r>
          </w:p>
          <w:p w:rsidR="00D328AB" w:rsidRPr="00176F16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176F16">
              <w:rPr>
                <w:color w:val="000000"/>
                <w:lang w:val="uk-UA"/>
              </w:rPr>
              <w:t>підготовка у межах компетенції документів щодо призначення пенсій (довічного грошового утримання) суддям та працівникам апарату суду;</w:t>
            </w:r>
          </w:p>
          <w:p w:rsidR="00D328AB" w:rsidRPr="00176F16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176F16">
              <w:rPr>
                <w:color w:val="000000"/>
                <w:lang w:val="uk-UA"/>
              </w:rPr>
              <w:t>проведення роботи щодо створення сприятливого організаційного та психологічного клімату, формування корпоративної культури у колективі, розв’язання конфліктних ситуацій;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перевірка дотримання вимог законодавства про працю та державну службу, правил внутрішнього службового розпорядку в суді за дорученням керівника апарату суду;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 xml:space="preserve">організація роботи щодо мотивації персоналу суду; 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забезпечення видачі у встановленому порядку звільненій особі копії акта про звільнення, належно оформленої трудової книжки;</w:t>
            </w:r>
            <w:bookmarkStart w:id="5" w:name="n73"/>
            <w:bookmarkEnd w:id="5"/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проведення роботи у межах компетенції щодо укладання, продовження строку дії, розірвання контрактів з керівниками державних підприємств, установ і організацій, що належать до сфери управління суду, а також взяття участі у здійсненні заходів з перевірки виконання умов контрактів у порядку, встановленому законодавством;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здійснення обліку військовозобов’язаних і призовників та бронювання військовозобов’язаних в суді;</w:t>
            </w:r>
          </w:p>
          <w:p w:rsidR="00D328A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bookmarkStart w:id="6" w:name="n78"/>
            <w:bookmarkEnd w:id="6"/>
            <w:r w:rsidRPr="003139DB">
              <w:rPr>
                <w:color w:val="000000"/>
                <w:lang w:val="uk-UA"/>
              </w:rPr>
              <w:t>розгляд звернень громадян, підприємств, установ та організацій, посадових осіб, запитів та звернень народних депутатів, запитів на інформацію з питань управління персоналом;</w:t>
            </w:r>
            <w:bookmarkStart w:id="7" w:name="n79"/>
            <w:bookmarkEnd w:id="7"/>
          </w:p>
          <w:p w:rsidR="00D328A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326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E43F17">
              <w:rPr>
                <w:color w:val="000000"/>
                <w:lang w:val="uk-UA"/>
              </w:rPr>
              <w:t>проведення іншої роботи, пов’язаної із застосуванням законодавства про працю та державну службу.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2"/>
              </w:numPr>
              <w:shd w:val="clear" w:color="auto" w:fill="FFFFFF"/>
              <w:tabs>
                <w:tab w:val="left" w:pos="431"/>
              </w:tabs>
              <w:spacing w:before="0" w:beforeAutospacing="0" w:after="0" w:afterAutospacing="0"/>
              <w:ind w:left="147" w:right="88" w:firstLine="0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shd w:val="clear" w:color="auto" w:fill="FFFFFF"/>
                <w:lang w:val="uk-UA"/>
              </w:rPr>
              <w:t>Здійснення аналітичної та організаційної роботи з кадрового менеджменту:</w:t>
            </w:r>
          </w:p>
          <w:p w:rsidR="00D328AB" w:rsidRPr="003139DB" w:rsidRDefault="00D328AB" w:rsidP="00E43F17">
            <w:pPr>
              <w:pStyle w:val="rvps2"/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ind w:left="147" w:right="88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– внесення пропозицій керівнику державної служби з питань удосконалення управління персоналом та кадрового менеджменту;</w:t>
            </w:r>
          </w:p>
          <w:p w:rsidR="00D328AB" w:rsidRPr="003139DB" w:rsidRDefault="00D328AB" w:rsidP="00E43F17">
            <w:pPr>
              <w:pStyle w:val="rvps2"/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ind w:left="147" w:right="88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– здійснення аналітично-консультативного забезпечення роботи керівника апарату суду з питань управління персоналом;</w:t>
            </w:r>
          </w:p>
          <w:p w:rsidR="00D328AB" w:rsidRPr="003139DB" w:rsidRDefault="00D328AB" w:rsidP="00E43F17">
            <w:pPr>
              <w:pStyle w:val="rvps2"/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ind w:left="147" w:right="88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– вивчення потреби в персоналі на вакантні посади в суді та внесення відповідних пропозицій керівнику апарату суду;</w:t>
            </w:r>
          </w:p>
          <w:p w:rsidR="00D328AB" w:rsidRDefault="00D328AB" w:rsidP="00E43F17">
            <w:pPr>
              <w:pStyle w:val="rvps2"/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ind w:left="147" w:right="88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– надання консультативної допомоги з питань управління персоналом судд</w:t>
            </w:r>
            <w:r>
              <w:rPr>
                <w:color w:val="000000"/>
                <w:lang w:val="uk-UA"/>
              </w:rPr>
              <w:t>ям та працівникам апарату суду;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ind w:left="147" w:right="88" w:firstLine="0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надання керівнику апарату суду пропозицій та підготовка документів щодо заохочення та нагородження персоналу державними нагородами, відомчими заохочувальними відзнаками, ведення відповідного обліку;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ведення встановленої звітно-облікової документації;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289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 xml:space="preserve">здійснення підготовки державної статистичної звітності з питань управління персоналу суду; </w:t>
            </w:r>
          </w:p>
          <w:p w:rsidR="00D328AB" w:rsidRDefault="00D328AB" w:rsidP="00E43F17">
            <w:pPr>
              <w:pStyle w:val="rvps2"/>
              <w:shd w:val="clear" w:color="auto" w:fill="FFFFFF"/>
              <w:tabs>
                <w:tab w:val="left" w:pos="147"/>
                <w:tab w:val="left" w:pos="289"/>
                <w:tab w:val="left" w:pos="326"/>
                <w:tab w:val="left" w:pos="1062"/>
              </w:tabs>
              <w:spacing w:before="0" w:beforeAutospacing="0" w:after="0" w:afterAutospacing="0"/>
              <w:ind w:left="147" w:right="88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– проведення аналізу кількісного та якісного складу державних службовців, а також суддів та інших працівників апарату суду.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2"/>
              </w:numPr>
              <w:shd w:val="clear" w:color="auto" w:fill="FFFFFF"/>
              <w:tabs>
                <w:tab w:val="left" w:pos="289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3139DB">
              <w:rPr>
                <w:color w:val="000000"/>
                <w:lang w:val="uk-UA"/>
              </w:rPr>
              <w:t>Забезпечення добору персоналу – працівників апарату суду: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shd w:val="clear" w:color="auto" w:fill="FFFFFF"/>
                <w:lang w:val="uk-UA"/>
              </w:rPr>
              <w:t xml:space="preserve">розгляд інформації, поданої кандидатами </w:t>
            </w:r>
            <w:r w:rsidRPr="003139DB">
              <w:rPr>
                <w:color w:val="000000"/>
                <w:lang w:val="uk-UA"/>
              </w:rPr>
              <w:t xml:space="preserve">на зайняття вакантних посад державної служби категорій «Б» та «В», </w:t>
            </w:r>
            <w:r w:rsidRPr="003139DB">
              <w:rPr>
                <w:color w:val="000000"/>
                <w:shd w:val="clear" w:color="auto" w:fill="FFFFFF"/>
                <w:lang w:val="uk-UA"/>
              </w:rPr>
              <w:t>для участі у конкурсі, проведення перевірки</w:t>
            </w:r>
            <w:r w:rsidRPr="003139DB">
              <w:rPr>
                <w:color w:val="000000"/>
                <w:lang w:val="uk-UA"/>
              </w:rPr>
              <w:t xml:space="preserve"> на відповідність встановленим законом вимогам;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повідомлення кандидатів про результати перевірки інформації та подання її на розгляд конкурсної комісії суду;</w:t>
            </w:r>
          </w:p>
          <w:p w:rsidR="00D328A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надсилання кандидатам на зайняття вакантних посад державної служби категорій «Б» та «В» письмових повідомлень про результати конкурсу;</w:t>
            </w:r>
          </w:p>
          <w:p w:rsidR="00D328AB" w:rsidRDefault="00D328AB" w:rsidP="00E43F17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E43F17">
              <w:rPr>
                <w:color w:val="000000"/>
                <w:lang w:val="uk-UA"/>
              </w:rPr>
              <w:t>здійснення інших заходів щодо організації конкурсного відбору.</w:t>
            </w:r>
          </w:p>
          <w:p w:rsidR="00D328AB" w:rsidRPr="003139DB" w:rsidRDefault="00D328AB" w:rsidP="00E43F17">
            <w:pPr>
              <w:pStyle w:val="rvps2"/>
              <w:numPr>
                <w:ilvl w:val="0"/>
                <w:numId w:val="32"/>
              </w:numPr>
              <w:shd w:val="clear" w:color="auto" w:fill="FFFFFF"/>
              <w:tabs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Прогнозування розвитку персоналу, заохочення працівників апарату суду до службової кар’єри, підвищення рівня їх професійної компетентності:</w:t>
            </w:r>
          </w:p>
          <w:p w:rsidR="00D328AB" w:rsidRPr="003139DB" w:rsidRDefault="00D328AB" w:rsidP="00E43F17">
            <w:pPr>
              <w:pStyle w:val="rvps2"/>
              <w:shd w:val="clear" w:color="auto" w:fill="FFFFFF"/>
              <w:tabs>
                <w:tab w:val="left" w:pos="431"/>
              </w:tabs>
              <w:spacing w:before="0" w:beforeAutospacing="0" w:after="0" w:afterAutospacing="0"/>
              <w:ind w:left="147" w:right="88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– організація проведення внутрішніх навчань державних службовців та інших працівників апарату суду;</w:t>
            </w:r>
          </w:p>
          <w:p w:rsidR="00D328AB" w:rsidRPr="003139DB" w:rsidRDefault="00D328AB" w:rsidP="00E43F17">
            <w:pPr>
              <w:pStyle w:val="rvps2"/>
              <w:shd w:val="clear" w:color="auto" w:fill="FFFFFF"/>
              <w:tabs>
                <w:tab w:val="left" w:pos="431"/>
              </w:tabs>
              <w:spacing w:before="0" w:beforeAutospacing="0" w:after="0" w:afterAutospacing="0"/>
              <w:ind w:left="147" w:right="88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 xml:space="preserve">– здійснення планування професійного навчання державних службовців суду;    </w:t>
            </w:r>
          </w:p>
          <w:p w:rsidR="00D328AB" w:rsidRDefault="00D328AB" w:rsidP="000018DC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47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узагальнення потреби працівників апарату суду у підготовці, спеціалізації та підвищенні кваліфікації і внесення відповідних пропозицій керівнику апарату суду</w:t>
            </w:r>
            <w:bookmarkStart w:id="8" w:name="n54"/>
            <w:bookmarkEnd w:id="8"/>
            <w:r w:rsidRPr="003139DB">
              <w:rPr>
                <w:color w:val="000000"/>
                <w:lang w:val="uk-UA"/>
              </w:rPr>
              <w:t xml:space="preserve">; </w:t>
            </w:r>
          </w:p>
          <w:p w:rsidR="00D328AB" w:rsidRDefault="00D328AB" w:rsidP="000018DC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47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0018DC">
              <w:rPr>
                <w:color w:val="000000"/>
                <w:lang w:val="uk-UA"/>
              </w:rPr>
              <w:t>складання разом із державним службовцем індивідуальної програми професійного розвитку за результатами оцінювання його службової діяльності;</w:t>
            </w:r>
          </w:p>
          <w:p w:rsidR="00D328AB" w:rsidRPr="000018DC" w:rsidRDefault="00D328AB" w:rsidP="000018DC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47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0018DC">
              <w:rPr>
                <w:color w:val="000000"/>
                <w:lang w:val="uk-UA"/>
              </w:rPr>
              <w:t>забезпечення проведення завдань та ключових показників;</w:t>
            </w:r>
          </w:p>
          <w:p w:rsidR="00D328AB" w:rsidRDefault="00D328AB" w:rsidP="000018DC">
            <w:pPr>
              <w:pStyle w:val="rvps2"/>
              <w:numPr>
                <w:ilvl w:val="0"/>
                <w:numId w:val="31"/>
              </w:numPr>
              <w:shd w:val="clear" w:color="auto" w:fill="FFFFFF"/>
              <w:tabs>
                <w:tab w:val="left" w:pos="147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проведення оцінювання результатів службової діяльності державних службовців</w:t>
            </w:r>
            <w:r w:rsidRPr="003139DB">
              <w:rPr>
                <w:color w:val="000000"/>
                <w:lang w:val="uk-UA"/>
              </w:rPr>
              <w:t>.</w:t>
            </w:r>
          </w:p>
          <w:p w:rsidR="00D328AB" w:rsidRDefault="00D328AB" w:rsidP="000018DC">
            <w:pPr>
              <w:pStyle w:val="rvps2"/>
              <w:numPr>
                <w:ilvl w:val="0"/>
                <w:numId w:val="32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3139DB">
              <w:rPr>
                <w:color w:val="000000"/>
                <w:lang w:val="uk-UA"/>
              </w:rPr>
              <w:t>Здійснення організаційних заходів щодо своєчасного подання суддями</w:t>
            </w:r>
            <w:r>
              <w:rPr>
                <w:color w:val="000000"/>
                <w:lang w:val="uk-UA"/>
              </w:rPr>
              <w:t>,</w:t>
            </w:r>
            <w:r w:rsidRPr="003139DB">
              <w:rPr>
                <w:color w:val="000000"/>
                <w:lang w:val="uk-UA"/>
              </w:rPr>
              <w:t xml:space="preserve"> працівниками апарату суду </w:t>
            </w:r>
            <w:r>
              <w:rPr>
                <w:color w:val="000000"/>
                <w:spacing w:val="4"/>
                <w:lang w:val="uk-UA"/>
              </w:rPr>
              <w:t xml:space="preserve"> та присяжними</w:t>
            </w:r>
            <w:r w:rsidRPr="004240C0">
              <w:rPr>
                <w:color w:val="000000"/>
                <w:spacing w:val="4"/>
                <w:lang w:val="uk-UA"/>
              </w:rPr>
              <w:t xml:space="preserve"> </w:t>
            </w:r>
            <w:r>
              <w:rPr>
                <w:color w:val="000000"/>
                <w:spacing w:val="4"/>
                <w:lang w:val="uk-UA"/>
              </w:rPr>
              <w:t xml:space="preserve">суду </w:t>
            </w:r>
            <w:r w:rsidRPr="003139DB">
              <w:rPr>
                <w:color w:val="000000"/>
                <w:lang w:val="uk-UA"/>
              </w:rPr>
              <w:t>відомостей про майно, доходи, витрати і зобов’язання фінансового характеру за минулий рік.</w:t>
            </w:r>
          </w:p>
          <w:p w:rsidR="00D328AB" w:rsidRPr="00E43F17" w:rsidRDefault="00D328AB" w:rsidP="00E43F17">
            <w:pPr>
              <w:pStyle w:val="rvps2"/>
              <w:numPr>
                <w:ilvl w:val="0"/>
                <w:numId w:val="32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E43F17">
              <w:rPr>
                <w:color w:val="000000"/>
                <w:lang w:val="uk-UA"/>
              </w:rPr>
              <w:t>Оброблення інформації в інформаційно-телекомунікаційній системі «Кадри-Веб», наповнення та оновлення даними в програмі.</w:t>
            </w:r>
          </w:p>
          <w:p w:rsidR="00D328AB" w:rsidRPr="00E43F17" w:rsidRDefault="00D328AB" w:rsidP="00E43F17">
            <w:pPr>
              <w:pStyle w:val="rvps2"/>
              <w:numPr>
                <w:ilvl w:val="0"/>
                <w:numId w:val="32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E43F17">
              <w:rPr>
                <w:color w:val="000000"/>
                <w:lang w:val="uk-UA"/>
              </w:rPr>
              <w:t>Забезпечення організації проведення спеціальної перевірки щодо осіб, які претендують на зайняття посад в суді та проведення перевірки достовірності відомостей щодо застосування заборон, передбачених</w:t>
            </w:r>
            <w:r w:rsidRPr="00E43F17">
              <w:rPr>
                <w:rStyle w:val="apple-converted-space"/>
                <w:color w:val="000000"/>
                <w:lang w:val="uk-UA"/>
              </w:rPr>
              <w:t> </w:t>
            </w:r>
            <w:hyperlink r:id="rId7" w:anchor="n13" w:tgtFrame="_blank" w:history="1">
              <w:r w:rsidRPr="00E43F17">
                <w:rPr>
                  <w:rStyle w:val="Hyperlink"/>
                  <w:color w:val="000000"/>
                  <w:u w:val="none"/>
                  <w:bdr w:val="none" w:sz="0" w:space="0" w:color="auto" w:frame="1"/>
                  <w:lang w:val="uk-UA"/>
                </w:rPr>
                <w:t>частинами третьою</w:t>
              </w:r>
            </w:hyperlink>
            <w:r w:rsidRPr="00E43F17">
              <w:rPr>
                <w:rStyle w:val="apple-converted-space"/>
                <w:color w:val="000000"/>
                <w:lang w:val="uk-UA"/>
              </w:rPr>
              <w:t> </w:t>
            </w:r>
            <w:r w:rsidRPr="00E43F17">
              <w:rPr>
                <w:color w:val="000000"/>
                <w:lang w:val="uk-UA"/>
              </w:rPr>
              <w:t>і</w:t>
            </w:r>
            <w:r w:rsidRPr="00E43F17">
              <w:rPr>
                <w:rStyle w:val="apple-converted-space"/>
                <w:color w:val="000000"/>
                <w:lang w:val="uk-UA"/>
              </w:rPr>
              <w:t> </w:t>
            </w:r>
            <w:hyperlink r:id="rId8" w:anchor="n14" w:tgtFrame="_blank" w:history="1">
              <w:r w:rsidRPr="00E43F17">
                <w:rPr>
                  <w:rStyle w:val="Hyperlink"/>
                  <w:color w:val="000000"/>
                  <w:u w:val="none"/>
                  <w:bdr w:val="none" w:sz="0" w:space="0" w:color="auto" w:frame="1"/>
                  <w:lang w:val="uk-UA"/>
                </w:rPr>
                <w:t>четвертою</w:t>
              </w:r>
            </w:hyperlink>
            <w:r w:rsidRPr="00E43F17">
              <w:rPr>
                <w:rStyle w:val="apple-converted-space"/>
                <w:color w:val="000000"/>
                <w:lang w:val="uk-UA"/>
              </w:rPr>
              <w:t> </w:t>
            </w:r>
            <w:r w:rsidRPr="00E43F17">
              <w:rPr>
                <w:color w:val="000000"/>
                <w:lang w:val="uk-UA"/>
              </w:rPr>
              <w:t>статті 1 Закону України «Про очищення влади», підготовка довідки та висновку про її результати.</w:t>
            </w:r>
          </w:p>
          <w:p w:rsidR="00D328AB" w:rsidRPr="00E43F17" w:rsidRDefault="00D328AB" w:rsidP="00E43F17">
            <w:pPr>
              <w:pStyle w:val="rvps2"/>
              <w:numPr>
                <w:ilvl w:val="0"/>
                <w:numId w:val="32"/>
              </w:numPr>
              <w:shd w:val="clear" w:color="auto" w:fill="FFFFFF"/>
              <w:tabs>
                <w:tab w:val="left" w:pos="184"/>
                <w:tab w:val="left" w:pos="431"/>
              </w:tabs>
              <w:spacing w:before="0" w:beforeAutospacing="0" w:after="0" w:afterAutospacing="0"/>
              <w:ind w:left="147" w:right="88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E43F17">
              <w:rPr>
                <w:color w:val="000000"/>
                <w:lang w:val="uk-UA"/>
              </w:rPr>
              <w:t>Виконання    інших   доручень    керівника    апарату    суду.</w:t>
            </w:r>
          </w:p>
        </w:tc>
      </w:tr>
      <w:tr w:rsidR="00D328AB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 xml:space="preserve">- посадовий оклад – </w:t>
            </w:r>
            <w:r w:rsidRPr="005B1CD7">
              <w:rPr>
                <w:sz w:val="24"/>
                <w:szCs w:val="24"/>
              </w:rPr>
              <w:t xml:space="preserve">5540 </w:t>
            </w:r>
            <w:r w:rsidRPr="0052152C">
              <w:rPr>
                <w:color w:val="000000"/>
                <w:sz w:val="24"/>
                <w:szCs w:val="24"/>
              </w:rPr>
              <w:t>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D328AB" w:rsidRPr="0052152C" w:rsidRDefault="00D328A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D328AB" w:rsidRPr="0052152C" w:rsidRDefault="00D328A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D328A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</w:t>
            </w:r>
            <w:r w:rsidRPr="000B14D4">
              <w:rPr>
                <w:sz w:val="24"/>
                <w:szCs w:val="24"/>
              </w:rPr>
              <w:t>строково</w:t>
            </w:r>
          </w:p>
          <w:p w:rsidR="00D328AB" w:rsidRPr="0052152C" w:rsidRDefault="00D328AB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D328AB" w:rsidRPr="0052152C" w:rsidRDefault="00D328AB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D328A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3A11EE" w:rsidRDefault="00D328AB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3A11EE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2) резюме за формою згідно з додатком 2</w:t>
            </w:r>
            <w:r w:rsidRPr="003A11EE">
              <w:rPr>
                <w:sz w:val="24"/>
                <w:szCs w:val="24"/>
                <w:vertAlign w:val="superscript"/>
              </w:rPr>
              <w:t>1</w:t>
            </w:r>
            <w:r w:rsidRPr="003A11EE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прізвище, ім’я, по батькові кандидата;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D328AB" w:rsidRPr="003A11EE" w:rsidRDefault="00D328AB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D328AB" w:rsidRPr="003A11EE" w:rsidRDefault="00D328AB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3A11EE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D328AB" w:rsidRPr="003A11EE" w:rsidRDefault="00D328AB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3A11EE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D328AB" w:rsidRPr="003A11EE" w:rsidRDefault="00D328AB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D328AB" w:rsidRPr="003A11EE" w:rsidRDefault="00D328AB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3A11EE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3A11EE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D328AB" w:rsidRPr="003A11EE" w:rsidRDefault="00D328AB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D328AB" w:rsidRPr="003A11EE" w:rsidRDefault="00D328AB" w:rsidP="00D912A0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3A11EE">
              <w:rPr>
                <w:sz w:val="24"/>
                <w:szCs w:val="24"/>
              </w:rPr>
              <w:t xml:space="preserve">Документи приймаються до 17 год. 00 хв. </w:t>
            </w:r>
            <w:r w:rsidRPr="005B1CD7">
              <w:rPr>
                <w:sz w:val="24"/>
                <w:szCs w:val="24"/>
              </w:rPr>
              <w:t>25</w:t>
            </w:r>
            <w:r w:rsidRPr="003A11EE">
              <w:rPr>
                <w:sz w:val="24"/>
                <w:szCs w:val="24"/>
              </w:rPr>
              <w:t xml:space="preserve"> червня 2021 року</w:t>
            </w:r>
          </w:p>
        </w:tc>
      </w:tr>
      <w:tr w:rsidR="00D328AB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3A11EE" w:rsidRDefault="00D328AB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D328AB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D328AB" w:rsidRPr="0052152C" w:rsidRDefault="00D328AB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D328AB" w:rsidRPr="0052152C" w:rsidRDefault="00D328AB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3A11EE" w:rsidRDefault="00D328A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A11EE">
              <w:rPr>
                <w:sz w:val="24"/>
                <w:szCs w:val="24"/>
              </w:rPr>
              <w:t xml:space="preserve"> червня 2021 року 09 год. 00 хв. </w:t>
            </w:r>
          </w:p>
          <w:p w:rsidR="00D328AB" w:rsidRPr="003A11EE" w:rsidRDefault="00D328A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D328AB" w:rsidRPr="003A11EE" w:rsidRDefault="00D328A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D328AB" w:rsidRPr="003A11EE" w:rsidRDefault="00D328A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3A11EE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D328AB" w:rsidRPr="003A11EE" w:rsidRDefault="00D328A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D328AB" w:rsidRPr="003A11EE" w:rsidRDefault="00D328AB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3A11EE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3A11EE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D328A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Давиденко Ліда Григорівна,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D328AB" w:rsidRPr="0052152C" w:rsidRDefault="00D328A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D328AB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D328AB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вища освіта за спеціальністю "Правознавство" або "Правоохоронна діяльність" зі</w:t>
            </w:r>
            <w:r w:rsidRPr="0052152C">
              <w:rPr>
                <w:color w:val="000000"/>
                <w:sz w:val="24"/>
                <w:szCs w:val="24"/>
              </w:rPr>
              <w:t xml:space="preserve"> ступенем не нижче бакалавра, молодшого бакалавра</w:t>
            </w:r>
          </w:p>
        </w:tc>
      </w:tr>
      <w:tr w:rsidR="00D328AB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D328AB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Default="00D328A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D328AB" w:rsidRPr="0052152C" w:rsidRDefault="00D328AB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D328AB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D328AB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9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D328A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D328AB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Цифрова грамотність</w:t>
            </w:r>
          </w:p>
          <w:p w:rsidR="00D328AB" w:rsidRPr="00FD6076" w:rsidRDefault="00D328A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D328AB" w:rsidRPr="00FD6076" w:rsidRDefault="00D328A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D328AB" w:rsidRPr="00FD6076" w:rsidRDefault="00D328A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D328AB" w:rsidRPr="00FD6076" w:rsidRDefault="00D328AB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D328AB" w:rsidRPr="00FD6076" w:rsidRDefault="00D328AB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D328A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52152C">
            <w:pPr>
              <w:spacing w:after="20"/>
              <w:ind w:left="110" w:firstLine="0"/>
              <w:jc w:val="left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D328AB" w:rsidRPr="00FD6076" w:rsidRDefault="00D328AB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D328AB" w:rsidRPr="00FD6076" w:rsidRDefault="00D328AB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D328A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D328AB" w:rsidRPr="00FD6076" w:rsidRDefault="00D328AB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D328AB" w:rsidRPr="00FD6076" w:rsidRDefault="00D328AB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</w:rPr>
              <w:t>- вміння запобігати та ефективно долати перешкоди.</w:t>
            </w:r>
          </w:p>
        </w:tc>
      </w:tr>
      <w:tr w:rsidR="00D328A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  <w:shd w:val="clear" w:color="auto" w:fill="FFFFFF"/>
              </w:rPr>
              <w:t>Якісне виконання поставлених завдань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FD6076" w:rsidRDefault="00D328AB" w:rsidP="00FD6076">
            <w:pPr>
              <w:tabs>
                <w:tab w:val="left" w:pos="470"/>
                <w:tab w:val="left" w:pos="1848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FD6076">
              <w:rPr>
                <w:color w:val="000000"/>
                <w:sz w:val="24"/>
                <w:szCs w:val="24"/>
                <w:shd w:val="clear" w:color="auto" w:fill="FFFFFF"/>
              </w:rPr>
              <w:t xml:space="preserve">- чітке і точне формулювання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мети, цілей і завдань службової </w:t>
            </w:r>
            <w:r w:rsidRPr="00FD6076">
              <w:rPr>
                <w:color w:val="000000"/>
                <w:sz w:val="24"/>
                <w:szCs w:val="24"/>
                <w:shd w:val="clear" w:color="auto" w:fill="FFFFFF"/>
              </w:rPr>
              <w:t>діяльності;</w:t>
            </w:r>
            <w:r w:rsidRPr="00FD6076">
              <w:rPr>
                <w:color w:val="000000"/>
                <w:sz w:val="24"/>
                <w:szCs w:val="24"/>
              </w:rPr>
              <w:br/>
            </w:r>
            <w:r w:rsidRPr="00FD6076">
              <w:rPr>
                <w:color w:val="000000"/>
                <w:sz w:val="24"/>
                <w:szCs w:val="24"/>
                <w:shd w:val="clear" w:color="auto" w:fill="FFFFFF"/>
              </w:rPr>
              <w:t>- комплек</w:t>
            </w:r>
            <w:bookmarkStart w:id="9" w:name="_GoBack"/>
            <w:bookmarkEnd w:id="9"/>
            <w:r w:rsidRPr="00FD6076">
              <w:rPr>
                <w:color w:val="000000"/>
                <w:sz w:val="24"/>
                <w:szCs w:val="24"/>
                <w:shd w:val="clear" w:color="auto" w:fill="FFFFFF"/>
              </w:rPr>
              <w:t>сний підхід до виконання завдань, виявлення ризиків;</w:t>
            </w:r>
            <w:r w:rsidRPr="00FD6076">
              <w:rPr>
                <w:color w:val="000000"/>
                <w:sz w:val="24"/>
                <w:szCs w:val="24"/>
              </w:rPr>
              <w:br/>
            </w:r>
            <w:r w:rsidRPr="00FD6076">
              <w:rPr>
                <w:color w:val="000000"/>
                <w:sz w:val="24"/>
                <w:szCs w:val="24"/>
                <w:shd w:val="clear" w:color="auto" w:fill="FFFFFF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D328A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Default="00D328AB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333333"/>
                <w:shd w:val="clear" w:color="auto" w:fill="FFFFFF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Default="00D328AB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333333"/>
                <w:shd w:val="clear" w:color="auto" w:fill="FFFFFF"/>
              </w:rPr>
            </w:pPr>
          </w:p>
        </w:tc>
      </w:tr>
      <w:tr w:rsidR="00D328AB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D328AB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D328AB" w:rsidRPr="00DA182A" w:rsidTr="00BD1318">
        <w:trPr>
          <w:trHeight w:val="87"/>
        </w:trPr>
        <w:tc>
          <w:tcPr>
            <w:tcW w:w="294" w:type="dxa"/>
          </w:tcPr>
          <w:p w:rsidR="00D328AB" w:rsidRPr="0052152C" w:rsidRDefault="00D328AB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28AB" w:rsidRPr="0052152C" w:rsidRDefault="00D328AB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D328AB" w:rsidRPr="0052152C" w:rsidRDefault="00D328A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D328AB" w:rsidRPr="0052152C" w:rsidRDefault="00D328A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D328AB" w:rsidRPr="0052152C" w:rsidRDefault="00D328A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D328AB" w:rsidRPr="0052152C" w:rsidRDefault="00D328AB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D328AB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28AB" w:rsidRPr="0052152C" w:rsidRDefault="00D328AB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D328AB" w:rsidRPr="007B350B" w:rsidRDefault="00D328A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0B">
              <w:rPr>
                <w:rFonts w:ascii="Times New Roman" w:hAnsi="Times New Roman"/>
                <w:color w:val="000000"/>
                <w:sz w:val="24"/>
                <w:szCs w:val="24"/>
              </w:rPr>
              <w:t>Кодексу законів про працю України від 10.12.1971 № 322-VIII, із змінами;</w:t>
            </w:r>
          </w:p>
          <w:p w:rsidR="00D328AB" w:rsidRPr="007B350B" w:rsidRDefault="00D328A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0B">
              <w:rPr>
                <w:rFonts w:ascii="Times New Roman" w:hAnsi="Times New Roman"/>
                <w:color w:val="000000"/>
                <w:sz w:val="24"/>
              </w:rPr>
              <w:t>Закону України «Про відпустки»</w:t>
            </w:r>
            <w:r w:rsidRPr="007B3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350B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r w:rsidRPr="007B350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15.11.1996 № 504/96-ВР, із змінами, </w:t>
            </w:r>
            <w:r w:rsidRPr="007B350B">
              <w:rPr>
                <w:rFonts w:ascii="Times New Roman" w:hAnsi="Times New Roman"/>
                <w:color w:val="000000"/>
                <w:sz w:val="24"/>
              </w:rPr>
              <w:t xml:space="preserve">Закону України «Про судоустрій і статус суддів» від </w:t>
            </w:r>
            <w:r w:rsidRPr="007B350B">
              <w:rPr>
                <w:rFonts w:ascii="Times New Roman" w:hAnsi="Times New Roman"/>
                <w:color w:val="000000"/>
                <w:sz w:val="24"/>
                <w:szCs w:val="24"/>
              </w:rPr>
              <w:t>02.06.2016 № 1402-VIII, із змінами;</w:t>
            </w:r>
          </w:p>
          <w:p w:rsidR="00D328AB" w:rsidRPr="007B350B" w:rsidRDefault="00D328A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0B">
              <w:rPr>
                <w:rFonts w:ascii="Times New Roman" w:hAnsi="Times New Roman"/>
                <w:color w:val="000000"/>
                <w:sz w:val="24"/>
                <w:szCs w:val="24"/>
              </w:rPr>
              <w:t>Порядку проведення конкурсу на зайняття посад державної служби, затвердженого постановою Кабінету Міністрів України від 25.03.2016 № 246, із змінами</w:t>
            </w:r>
            <w:r w:rsidRPr="007B35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328AB" w:rsidRPr="007B350B" w:rsidRDefault="00D328AB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0B">
              <w:rPr>
                <w:rFonts w:ascii="Times New Roman" w:hAnsi="Times New Roman"/>
                <w:color w:val="000000"/>
                <w:sz w:val="24"/>
                <w:szCs w:val="24"/>
              </w:rPr>
              <w:t>Порядку присвоєння рангів державних службовців, затвердженого постановою Кабінету Міністрів України від 20.04.2016 № 306, із змінами;</w:t>
            </w:r>
          </w:p>
          <w:p w:rsidR="00D328AB" w:rsidRPr="007B350B" w:rsidRDefault="00D328AB" w:rsidP="007B350B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350B">
              <w:rPr>
                <w:rFonts w:ascii="Times New Roman" w:hAnsi="Times New Roman"/>
                <w:color w:val="000000"/>
                <w:sz w:val="24"/>
                <w:szCs w:val="24"/>
              </w:rPr>
              <w:t>Порядку обчислення стажу державної служби, затвердженого постановою Кабінету Міністрів України від 25.03.2016 № 229.</w:t>
            </w:r>
          </w:p>
        </w:tc>
      </w:tr>
    </w:tbl>
    <w:p w:rsidR="00D328AB" w:rsidRPr="00DA182A" w:rsidRDefault="00D328AB">
      <w:pPr>
        <w:ind w:firstLine="0"/>
        <w:jc w:val="left"/>
        <w:rPr>
          <w:sz w:val="24"/>
          <w:szCs w:val="24"/>
        </w:rPr>
      </w:pPr>
    </w:p>
    <w:p w:rsidR="00D328AB" w:rsidRPr="00DA182A" w:rsidRDefault="00D328AB">
      <w:pPr>
        <w:ind w:left="5669" w:right="13" w:firstLine="0"/>
        <w:jc w:val="left"/>
        <w:rPr>
          <w:sz w:val="24"/>
          <w:szCs w:val="24"/>
        </w:rPr>
      </w:pPr>
    </w:p>
    <w:p w:rsidR="00D328AB" w:rsidRPr="00DA182A" w:rsidRDefault="00D328AB">
      <w:pPr>
        <w:ind w:left="5669" w:right="13" w:firstLine="0"/>
        <w:jc w:val="left"/>
        <w:rPr>
          <w:sz w:val="24"/>
          <w:szCs w:val="24"/>
        </w:rPr>
      </w:pPr>
    </w:p>
    <w:p w:rsidR="00D328AB" w:rsidRPr="00DA182A" w:rsidRDefault="00D328AB">
      <w:pPr>
        <w:ind w:left="5669" w:right="13" w:firstLine="0"/>
        <w:jc w:val="left"/>
        <w:rPr>
          <w:sz w:val="24"/>
          <w:szCs w:val="24"/>
        </w:rPr>
      </w:pPr>
    </w:p>
    <w:sectPr w:rsidR="00D328AB" w:rsidRPr="00DA182A" w:rsidSect="00814089">
      <w:headerReference w:type="default" r:id="rId10"/>
      <w:pgSz w:w="11906" w:h="16838"/>
      <w:pgMar w:top="1134" w:right="709" w:bottom="1134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AB" w:rsidRDefault="00D328AB">
      <w:r>
        <w:separator/>
      </w:r>
    </w:p>
  </w:endnote>
  <w:endnote w:type="continuationSeparator" w:id="0">
    <w:p w:rsidR="00D328AB" w:rsidRDefault="00D3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AB" w:rsidRDefault="00D328AB">
      <w:r>
        <w:separator/>
      </w:r>
    </w:p>
  </w:footnote>
  <w:footnote w:type="continuationSeparator" w:id="0">
    <w:p w:rsidR="00D328AB" w:rsidRDefault="00D32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AB" w:rsidRDefault="00D328AB">
    <w:pPr>
      <w:jc w:val="center"/>
    </w:pPr>
    <w:fldSimple w:instr="PAGE">
      <w:r>
        <w:rPr>
          <w:noProof/>
        </w:rPr>
        <w:t>2</w:t>
      </w:r>
    </w:fldSimple>
  </w:p>
  <w:p w:rsidR="00D328AB" w:rsidRDefault="00D328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871"/>
    <w:multiLevelType w:val="hybridMultilevel"/>
    <w:tmpl w:val="AC0A9A74"/>
    <w:lvl w:ilvl="0" w:tplc="F4725498">
      <w:start w:val="2"/>
      <w:numFmt w:val="none"/>
      <w:lvlText w:val="2.34.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8D62DA"/>
    <w:multiLevelType w:val="hybridMultilevel"/>
    <w:tmpl w:val="131EC2A6"/>
    <w:lvl w:ilvl="0" w:tplc="A3CA263C">
      <w:start w:val="1"/>
      <w:numFmt w:val="bullet"/>
      <w:lvlText w:val="–"/>
      <w:lvlJc w:val="left"/>
      <w:pPr>
        <w:ind w:left="50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">
    <w:nsid w:val="10787AA9"/>
    <w:multiLevelType w:val="hybridMultilevel"/>
    <w:tmpl w:val="298E7B94"/>
    <w:lvl w:ilvl="0" w:tplc="623AC08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132B003E"/>
    <w:multiLevelType w:val="hybridMultilevel"/>
    <w:tmpl w:val="582E4412"/>
    <w:lvl w:ilvl="0" w:tplc="13A6302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0964B6"/>
    <w:multiLevelType w:val="hybridMultilevel"/>
    <w:tmpl w:val="B9FC7AE4"/>
    <w:lvl w:ilvl="0" w:tplc="0494E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7E717F"/>
    <w:multiLevelType w:val="hybridMultilevel"/>
    <w:tmpl w:val="8C60CCE4"/>
    <w:lvl w:ilvl="0" w:tplc="C13EDCAE">
      <w:start w:val="1"/>
      <w:numFmt w:val="bullet"/>
      <w:lvlText w:val="–"/>
      <w:lvlJc w:val="left"/>
      <w:pPr>
        <w:ind w:left="4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9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10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13">
    <w:nsid w:val="255864FF"/>
    <w:multiLevelType w:val="hybridMultilevel"/>
    <w:tmpl w:val="D5E8D6B2"/>
    <w:lvl w:ilvl="0" w:tplc="110672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F4C14"/>
    <w:multiLevelType w:val="hybridMultilevel"/>
    <w:tmpl w:val="A748F50E"/>
    <w:lvl w:ilvl="0" w:tplc="21343892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929B2"/>
    <w:multiLevelType w:val="hybridMultilevel"/>
    <w:tmpl w:val="6D6402FE"/>
    <w:lvl w:ilvl="0" w:tplc="AAE216B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9">
    <w:nsid w:val="3C344531"/>
    <w:multiLevelType w:val="hybridMultilevel"/>
    <w:tmpl w:val="B54A59AA"/>
    <w:lvl w:ilvl="0" w:tplc="C0BEE81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203FA"/>
    <w:multiLevelType w:val="hybridMultilevel"/>
    <w:tmpl w:val="52F62406"/>
    <w:lvl w:ilvl="0" w:tplc="37505F1C">
      <w:start w:val="2"/>
      <w:numFmt w:val="bullet"/>
      <w:lvlText w:val="–"/>
      <w:lvlJc w:val="left"/>
      <w:pPr>
        <w:ind w:left="4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21">
    <w:nsid w:val="56106534"/>
    <w:multiLevelType w:val="hybridMultilevel"/>
    <w:tmpl w:val="131C9438"/>
    <w:lvl w:ilvl="0" w:tplc="524ED9D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E35C0"/>
    <w:multiLevelType w:val="hybridMultilevel"/>
    <w:tmpl w:val="F8C6614C"/>
    <w:lvl w:ilvl="0" w:tplc="335E1BFA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23">
    <w:nsid w:val="59B37486"/>
    <w:multiLevelType w:val="hybridMultilevel"/>
    <w:tmpl w:val="EEF4A558"/>
    <w:lvl w:ilvl="0" w:tplc="4BAA267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23C22"/>
    <w:multiLevelType w:val="hybridMultilevel"/>
    <w:tmpl w:val="F188B906"/>
    <w:lvl w:ilvl="0" w:tplc="DBC6EF0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B71488A"/>
    <w:multiLevelType w:val="hybridMultilevel"/>
    <w:tmpl w:val="61AC594E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7">
    <w:nsid w:val="5F98088C"/>
    <w:multiLevelType w:val="hybridMultilevel"/>
    <w:tmpl w:val="FDC887DA"/>
    <w:lvl w:ilvl="0" w:tplc="54D4DB3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0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31">
    <w:nsid w:val="6FB8376F"/>
    <w:multiLevelType w:val="hybridMultilevel"/>
    <w:tmpl w:val="74C4EEDA"/>
    <w:lvl w:ilvl="0" w:tplc="002C0C2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B369A"/>
    <w:multiLevelType w:val="hybridMultilevel"/>
    <w:tmpl w:val="41BE6174"/>
    <w:lvl w:ilvl="0" w:tplc="8C5894FE">
      <w:start w:val="1"/>
      <w:numFmt w:val="decimal"/>
      <w:lvlText w:val="%1."/>
      <w:lvlJc w:val="left"/>
      <w:pPr>
        <w:ind w:left="50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9"/>
  </w:num>
  <w:num w:numId="5">
    <w:abstractNumId w:val="26"/>
  </w:num>
  <w:num w:numId="6">
    <w:abstractNumId w:val="18"/>
  </w:num>
  <w:num w:numId="7">
    <w:abstractNumId w:val="11"/>
  </w:num>
  <w:num w:numId="8">
    <w:abstractNumId w:val="3"/>
  </w:num>
  <w:num w:numId="9">
    <w:abstractNumId w:val="30"/>
  </w:num>
  <w:num w:numId="10">
    <w:abstractNumId w:val="22"/>
  </w:num>
  <w:num w:numId="11">
    <w:abstractNumId w:val="9"/>
  </w:num>
  <w:num w:numId="12">
    <w:abstractNumId w:val="28"/>
  </w:num>
  <w:num w:numId="13">
    <w:abstractNumId w:val="16"/>
  </w:num>
  <w:num w:numId="14">
    <w:abstractNumId w:val="6"/>
  </w:num>
  <w:num w:numId="15">
    <w:abstractNumId w:val="15"/>
  </w:num>
  <w:num w:numId="16">
    <w:abstractNumId w:val="7"/>
  </w:num>
  <w:num w:numId="17">
    <w:abstractNumId w:val="24"/>
  </w:num>
  <w:num w:numId="18">
    <w:abstractNumId w:val="14"/>
  </w:num>
  <w:num w:numId="19">
    <w:abstractNumId w:val="2"/>
  </w:num>
  <w:num w:numId="20">
    <w:abstractNumId w:val="19"/>
  </w:num>
  <w:num w:numId="21">
    <w:abstractNumId w:val="13"/>
  </w:num>
  <w:num w:numId="22">
    <w:abstractNumId w:val="31"/>
  </w:num>
  <w:num w:numId="23">
    <w:abstractNumId w:val="25"/>
  </w:num>
  <w:num w:numId="24">
    <w:abstractNumId w:val="21"/>
  </w:num>
  <w:num w:numId="25">
    <w:abstractNumId w:val="27"/>
  </w:num>
  <w:num w:numId="26">
    <w:abstractNumId w:val="8"/>
  </w:num>
  <w:num w:numId="27">
    <w:abstractNumId w:val="0"/>
  </w:num>
  <w:num w:numId="28">
    <w:abstractNumId w:val="23"/>
  </w:num>
  <w:num w:numId="29">
    <w:abstractNumId w:val="20"/>
  </w:num>
  <w:num w:numId="30">
    <w:abstractNumId w:val="4"/>
  </w:num>
  <w:num w:numId="31">
    <w:abstractNumId w:val="17"/>
  </w:num>
  <w:num w:numId="32">
    <w:abstractNumId w:val="32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18DC"/>
    <w:rsid w:val="00002D8C"/>
    <w:rsid w:val="0001101E"/>
    <w:rsid w:val="0003408B"/>
    <w:rsid w:val="000475DC"/>
    <w:rsid w:val="000B14D4"/>
    <w:rsid w:val="000C4463"/>
    <w:rsid w:val="000C7CF2"/>
    <w:rsid w:val="000D3713"/>
    <w:rsid w:val="000F3FFD"/>
    <w:rsid w:val="00176F16"/>
    <w:rsid w:val="001A20B3"/>
    <w:rsid w:val="001E1D13"/>
    <w:rsid w:val="001E2ECD"/>
    <w:rsid w:val="0020322E"/>
    <w:rsid w:val="002075A2"/>
    <w:rsid w:val="00220E57"/>
    <w:rsid w:val="002426F7"/>
    <w:rsid w:val="00260A79"/>
    <w:rsid w:val="002A422A"/>
    <w:rsid w:val="002D03EB"/>
    <w:rsid w:val="002D13AA"/>
    <w:rsid w:val="002D78F7"/>
    <w:rsid w:val="003061B7"/>
    <w:rsid w:val="003139DB"/>
    <w:rsid w:val="00332E32"/>
    <w:rsid w:val="00350A7E"/>
    <w:rsid w:val="0035699C"/>
    <w:rsid w:val="00366882"/>
    <w:rsid w:val="003835A8"/>
    <w:rsid w:val="003A11EE"/>
    <w:rsid w:val="003A1732"/>
    <w:rsid w:val="003F24A1"/>
    <w:rsid w:val="004240C0"/>
    <w:rsid w:val="004465B3"/>
    <w:rsid w:val="004710BD"/>
    <w:rsid w:val="00482E37"/>
    <w:rsid w:val="004E6C65"/>
    <w:rsid w:val="005026E7"/>
    <w:rsid w:val="0052152C"/>
    <w:rsid w:val="00573DBA"/>
    <w:rsid w:val="0058596C"/>
    <w:rsid w:val="005A2B70"/>
    <w:rsid w:val="005B1CD7"/>
    <w:rsid w:val="005B3075"/>
    <w:rsid w:val="005C6C0A"/>
    <w:rsid w:val="005C6D08"/>
    <w:rsid w:val="005E3ED6"/>
    <w:rsid w:val="005F298B"/>
    <w:rsid w:val="0063631F"/>
    <w:rsid w:val="00654761"/>
    <w:rsid w:val="00691959"/>
    <w:rsid w:val="006A3B94"/>
    <w:rsid w:val="006C41D0"/>
    <w:rsid w:val="007044F5"/>
    <w:rsid w:val="00706981"/>
    <w:rsid w:val="00717208"/>
    <w:rsid w:val="007B18B9"/>
    <w:rsid w:val="007B350B"/>
    <w:rsid w:val="007D6DF0"/>
    <w:rsid w:val="007E656F"/>
    <w:rsid w:val="00814089"/>
    <w:rsid w:val="00823AB6"/>
    <w:rsid w:val="008502A3"/>
    <w:rsid w:val="008601A9"/>
    <w:rsid w:val="00866107"/>
    <w:rsid w:val="00867412"/>
    <w:rsid w:val="00875A66"/>
    <w:rsid w:val="00883469"/>
    <w:rsid w:val="008A3563"/>
    <w:rsid w:val="008C0795"/>
    <w:rsid w:val="008D79DB"/>
    <w:rsid w:val="009142D6"/>
    <w:rsid w:val="00920730"/>
    <w:rsid w:val="00931286"/>
    <w:rsid w:val="00951D1C"/>
    <w:rsid w:val="009705C8"/>
    <w:rsid w:val="00972B00"/>
    <w:rsid w:val="00981398"/>
    <w:rsid w:val="009878EF"/>
    <w:rsid w:val="009A371D"/>
    <w:rsid w:val="009A7772"/>
    <w:rsid w:val="009B659F"/>
    <w:rsid w:val="009C28C1"/>
    <w:rsid w:val="009E0E89"/>
    <w:rsid w:val="00A268E4"/>
    <w:rsid w:val="00A8205D"/>
    <w:rsid w:val="00AA1FBE"/>
    <w:rsid w:val="00AA37D4"/>
    <w:rsid w:val="00AB647E"/>
    <w:rsid w:val="00B06445"/>
    <w:rsid w:val="00B804DD"/>
    <w:rsid w:val="00BB69C4"/>
    <w:rsid w:val="00BD1318"/>
    <w:rsid w:val="00BE1C81"/>
    <w:rsid w:val="00C25308"/>
    <w:rsid w:val="00C52AAA"/>
    <w:rsid w:val="00C61B2D"/>
    <w:rsid w:val="00C71261"/>
    <w:rsid w:val="00C81F72"/>
    <w:rsid w:val="00C82080"/>
    <w:rsid w:val="00C9581B"/>
    <w:rsid w:val="00CB1DA3"/>
    <w:rsid w:val="00CB7EBB"/>
    <w:rsid w:val="00CC7848"/>
    <w:rsid w:val="00D0026F"/>
    <w:rsid w:val="00D328AB"/>
    <w:rsid w:val="00D912A0"/>
    <w:rsid w:val="00D950B5"/>
    <w:rsid w:val="00DA182A"/>
    <w:rsid w:val="00DA3511"/>
    <w:rsid w:val="00DA6815"/>
    <w:rsid w:val="00DE0EBB"/>
    <w:rsid w:val="00E04887"/>
    <w:rsid w:val="00E43F17"/>
    <w:rsid w:val="00E71A3C"/>
    <w:rsid w:val="00EE4084"/>
    <w:rsid w:val="00EF249E"/>
    <w:rsid w:val="00EF600C"/>
    <w:rsid w:val="00F86056"/>
    <w:rsid w:val="00FD6076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5B3075"/>
    <w:rPr>
      <w:rFonts w:ascii="Times New Roman" w:hAnsi="Times New Roman"/>
      <w:color w:val="000000"/>
      <w:sz w:val="28"/>
    </w:rPr>
  </w:style>
  <w:style w:type="character" w:styleId="Strong">
    <w:name w:val="Strong"/>
    <w:basedOn w:val="DefaultParagraphFont"/>
    <w:uiPriority w:val="99"/>
    <w:qFormat/>
    <w:locked/>
    <w:rsid w:val="005026E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43F1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43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1682-18/paran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0.rada.gov.ua/laws/show/1682-18/paran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KP1708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7</Pages>
  <Words>2153</Words>
  <Characters>12275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9</cp:revision>
  <cp:lastPrinted>2021-06-15T09:02:00Z</cp:lastPrinted>
  <dcterms:created xsi:type="dcterms:W3CDTF">2021-06-14T06:49:00Z</dcterms:created>
  <dcterms:modified xsi:type="dcterms:W3CDTF">2021-06-18T09:54:00Z</dcterms:modified>
</cp:coreProperties>
</file>