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8B" w:rsidRDefault="00441B8B" w:rsidP="00831E61">
      <w:pPr>
        <w:pStyle w:val="20"/>
        <w:keepNext/>
        <w:keepLines/>
        <w:shd w:val="clear" w:color="auto" w:fill="auto"/>
        <w:spacing w:after="0" w:line="240" w:lineRule="auto"/>
        <w:ind w:left="57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Статистичний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огляд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діяльності</w:t>
      </w:r>
      <w:proofErr w:type="spellEnd"/>
      <w:r>
        <w:rPr>
          <w:sz w:val="32"/>
          <w:szCs w:val="32"/>
        </w:rPr>
        <w:t xml:space="preserve"> </w:t>
      </w:r>
    </w:p>
    <w:p w:rsidR="00441B8B" w:rsidRDefault="00441B8B" w:rsidP="00831E61">
      <w:pPr>
        <w:pStyle w:val="20"/>
        <w:keepNext/>
        <w:keepLines/>
        <w:shd w:val="clear" w:color="auto" w:fill="auto"/>
        <w:spacing w:after="0" w:line="240" w:lineRule="auto"/>
        <w:ind w:left="57"/>
        <w:rPr>
          <w:sz w:val="28"/>
          <w:szCs w:val="28"/>
        </w:rPr>
      </w:pPr>
      <w:proofErr w:type="spellStart"/>
      <w:r>
        <w:rPr>
          <w:sz w:val="32"/>
          <w:szCs w:val="32"/>
        </w:rPr>
        <w:t>Житомирського</w:t>
      </w:r>
      <w:proofErr w:type="spellEnd"/>
      <w:r>
        <w:rPr>
          <w:sz w:val="32"/>
          <w:szCs w:val="32"/>
        </w:rPr>
        <w:t xml:space="preserve"> окружного </w:t>
      </w:r>
      <w:proofErr w:type="spellStart"/>
      <w:proofErr w:type="gramStart"/>
      <w:r>
        <w:rPr>
          <w:sz w:val="32"/>
          <w:szCs w:val="32"/>
        </w:rPr>
        <w:t>адм</w:t>
      </w:r>
      <w:proofErr w:type="gramEnd"/>
      <w:r>
        <w:rPr>
          <w:sz w:val="32"/>
          <w:szCs w:val="32"/>
        </w:rPr>
        <w:t>іністративного</w:t>
      </w:r>
      <w:proofErr w:type="spellEnd"/>
      <w:r>
        <w:rPr>
          <w:sz w:val="32"/>
          <w:szCs w:val="32"/>
        </w:rPr>
        <w:t xml:space="preserve"> суду </w:t>
      </w:r>
    </w:p>
    <w:p w:rsidR="00194615" w:rsidRPr="00FD268E" w:rsidRDefault="00194615" w:rsidP="00831E61">
      <w:pPr>
        <w:pStyle w:val="20"/>
        <w:keepNext/>
        <w:keepLines/>
        <w:shd w:val="clear" w:color="auto" w:fill="auto"/>
        <w:spacing w:after="0" w:line="240" w:lineRule="auto"/>
        <w:ind w:left="57"/>
        <w:rPr>
          <w:sz w:val="32"/>
          <w:szCs w:val="32"/>
          <w:lang w:val="uk-UA"/>
        </w:rPr>
      </w:pPr>
      <w:r w:rsidRPr="00FD268E">
        <w:rPr>
          <w:sz w:val="32"/>
          <w:szCs w:val="32"/>
          <w:lang w:val="uk-UA"/>
        </w:rPr>
        <w:t xml:space="preserve"> за   201</w:t>
      </w:r>
      <w:r w:rsidR="00BE34FF" w:rsidRPr="00FD268E">
        <w:rPr>
          <w:sz w:val="32"/>
          <w:szCs w:val="32"/>
          <w:lang w:val="uk-UA"/>
        </w:rPr>
        <w:t>7</w:t>
      </w:r>
      <w:r w:rsidRPr="00FD268E">
        <w:rPr>
          <w:sz w:val="32"/>
          <w:szCs w:val="32"/>
          <w:lang w:val="uk-UA"/>
        </w:rPr>
        <w:t xml:space="preserve"> р</w:t>
      </w:r>
      <w:r w:rsidR="00E23EC0" w:rsidRPr="00FD268E">
        <w:rPr>
          <w:sz w:val="32"/>
          <w:szCs w:val="32"/>
          <w:lang w:val="uk-UA"/>
        </w:rPr>
        <w:t>ік</w:t>
      </w:r>
    </w:p>
    <w:p w:rsidR="001860BE" w:rsidRPr="00FD268E" w:rsidRDefault="001860BE" w:rsidP="00831E61">
      <w:pPr>
        <w:pStyle w:val="20"/>
        <w:keepNext/>
        <w:keepLines/>
        <w:shd w:val="clear" w:color="auto" w:fill="auto"/>
        <w:spacing w:after="0" w:line="240" w:lineRule="auto"/>
        <w:ind w:left="57"/>
        <w:rPr>
          <w:sz w:val="32"/>
          <w:szCs w:val="32"/>
          <w:lang w:val="uk-UA"/>
        </w:rPr>
      </w:pPr>
    </w:p>
    <w:p w:rsidR="00194615" w:rsidRPr="0079365A" w:rsidRDefault="00194615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        Відповідно до частини 1 статті 2 Кодексу адміністративного судочинства України, завданням адміністративного судочинства є захист прав, свобод та інтересів як фізичних осіб, так і прав та інтересів юридичних осіб у сфері публічно-правових відносин від  порушень  з боку  органів державної  влади,  органів місцевого самоврядування, їхніх посадових  і службових осіб, інших суб’єктів при здійсненні ними владних  управлінських  функцій на </w:t>
      </w:r>
      <w:r w:rsidRPr="00B715F9">
        <w:rPr>
          <w:rFonts w:ascii="Times New Roman" w:hAnsi="Times New Roman" w:cs="Times New Roman"/>
          <w:sz w:val="28"/>
          <w:szCs w:val="28"/>
          <w:lang w:val="uk-UA"/>
        </w:rPr>
        <w:t>основі  законодавства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, шляхом  справедливого, неупередженого  та своєчасного розгляду адміністративних справ. </w:t>
      </w:r>
    </w:p>
    <w:p w:rsidR="00194615" w:rsidRPr="0079365A" w:rsidRDefault="00194615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      Аналіз статистичних даних свідчить, що  кількість адміністративних позовів, які надходять  до суду, </w:t>
      </w:r>
      <w:r w:rsidR="00FD268E" w:rsidRPr="003F0812">
        <w:rPr>
          <w:rFonts w:ascii="Times New Roman" w:hAnsi="Times New Roman" w:cs="Times New Roman"/>
          <w:sz w:val="28"/>
          <w:szCs w:val="28"/>
          <w:lang w:val="uk-UA"/>
        </w:rPr>
        <w:t>збільшу</w:t>
      </w:r>
      <w:r w:rsidR="00FD268E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0812" w:rsidRPr="003F0812">
        <w:rPr>
          <w:rFonts w:ascii="Times New Roman" w:hAnsi="Times New Roman" w:cs="Times New Roman"/>
          <w:sz w:val="28"/>
          <w:szCs w:val="28"/>
        </w:rPr>
        <w:t xml:space="preserve">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Протягом  201</w:t>
      </w:r>
      <w:r w:rsidR="00D60B9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63B03">
        <w:rPr>
          <w:rFonts w:ascii="Times New Roman" w:hAnsi="Times New Roman" w:cs="Times New Roman"/>
          <w:sz w:val="28"/>
          <w:szCs w:val="28"/>
          <w:lang w:val="uk-UA"/>
        </w:rPr>
        <w:t xml:space="preserve"> року надійш</w:t>
      </w:r>
      <w:r w:rsidR="00663B03" w:rsidRPr="003F0812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60B99" w:rsidRPr="003F0812">
        <w:rPr>
          <w:rFonts w:ascii="Times New Roman" w:hAnsi="Times New Roman" w:cs="Times New Roman"/>
          <w:sz w:val="28"/>
          <w:szCs w:val="28"/>
          <w:lang w:val="uk-UA"/>
        </w:rPr>
        <w:t>3904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адміністративні позови,  що складає </w:t>
      </w:r>
      <w:r w:rsidR="00D421BB" w:rsidRPr="00D421BB">
        <w:rPr>
          <w:rFonts w:ascii="Times New Roman" w:hAnsi="Times New Roman" w:cs="Times New Roman"/>
          <w:sz w:val="28"/>
          <w:szCs w:val="28"/>
        </w:rPr>
        <w:t>1</w:t>
      </w:r>
      <w:r w:rsidR="00037A3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3F0812" w:rsidRPr="003F0812">
        <w:rPr>
          <w:rFonts w:ascii="Times New Roman" w:hAnsi="Times New Roman" w:cs="Times New Roman"/>
          <w:sz w:val="28"/>
          <w:szCs w:val="28"/>
        </w:rPr>
        <w:t xml:space="preserve">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відсотк</w:t>
      </w:r>
      <w:r w:rsidR="0007782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32310D" w:rsidRPr="003F081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орівнянні з аналогічним періодом 201</w:t>
      </w:r>
      <w:r w:rsidR="00D60B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року (</w:t>
      </w:r>
      <w:r w:rsidR="00D60B99">
        <w:rPr>
          <w:rFonts w:ascii="Times New Roman" w:hAnsi="Times New Roman" w:cs="Times New Roman"/>
          <w:sz w:val="28"/>
          <w:szCs w:val="28"/>
          <w:lang w:val="uk-UA"/>
        </w:rPr>
        <w:t xml:space="preserve">3026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позов</w:t>
      </w:r>
      <w:r w:rsidR="0007782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23EC0" w:rsidRDefault="00194615" w:rsidP="003F0812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365A">
        <w:rPr>
          <w:rFonts w:ascii="Times New Roman" w:hAnsi="Times New Roman" w:cs="Times New Roman"/>
          <w:sz w:val="28"/>
          <w:szCs w:val="28"/>
          <w:lang w:val="uk-UA"/>
        </w:rPr>
        <w:t>Розгляд позовних заяв у</w:t>
      </w:r>
      <w:r w:rsidR="003F0812" w:rsidRPr="003F0812">
        <w:rPr>
          <w:rFonts w:ascii="Times New Roman" w:hAnsi="Times New Roman" w:cs="Times New Roman"/>
          <w:sz w:val="28"/>
          <w:szCs w:val="28"/>
        </w:rPr>
        <w:t xml:space="preserve">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AE4C5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F1EFA">
        <w:rPr>
          <w:rFonts w:ascii="Times New Roman" w:hAnsi="Times New Roman" w:cs="Times New Roman"/>
          <w:sz w:val="28"/>
          <w:szCs w:val="28"/>
          <w:lang w:val="uk-UA"/>
        </w:rPr>
        <w:t xml:space="preserve">ці   </w:t>
      </w:r>
      <w:r w:rsidR="00E23EC0" w:rsidRPr="0079365A">
        <w:rPr>
          <w:rFonts w:ascii="Times New Roman" w:hAnsi="Times New Roman" w:cs="Times New Roman"/>
          <w:sz w:val="28"/>
          <w:szCs w:val="28"/>
          <w:lang w:val="uk-UA"/>
        </w:rPr>
        <w:t>відображено у таблиці</w:t>
      </w:r>
    </w:p>
    <w:p w:rsidR="00194615" w:rsidRPr="0079365A" w:rsidRDefault="00194615" w:rsidP="00831E61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Перебувало на розгляді в суді позовних заяв у звітному періоді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32310D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3920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позовні заяви, що надійшли у звітному періоді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D421BB" w:rsidRDefault="00526A68" w:rsidP="00D421BB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42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851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94615" w:rsidRPr="0079365A" w:rsidRDefault="00194615" w:rsidP="00526A68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позовні заяви, не розглянуті на початок звітного періоду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0117BA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Розглянуто позовних заяв (всього)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0117BA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3657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позовні заяви, повернуті позивачам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0117BA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позови, щодо яких винесено рішення про відмову у відкритті провадження у справі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0117BA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позовні заяви залишені без розгляду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0117BA" w:rsidRDefault="000117BA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позови, щодо яких вирішено питання про відкриття провадження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C4374D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3175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позовні заяви, щодо яких не вирішено питання про </w:t>
            </w: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відкриття провадження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846168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263</w:t>
            </w: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5" w:rsidRPr="0079365A" w:rsidRDefault="00194615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4615" w:rsidRPr="0079365A" w:rsidTr="00B67A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79365A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залишені без руху з наданням строку для усунення недоліків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846168" w:rsidRDefault="00526A68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</w:tr>
    </w:tbl>
    <w:p w:rsidR="008D3B20" w:rsidRDefault="004E3A42" w:rsidP="008D3B20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421BB" w:rsidRPr="00D421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5106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було розглянуто </w:t>
      </w:r>
      <w:r w:rsidR="0005106D">
        <w:rPr>
          <w:rFonts w:ascii="Times New Roman" w:hAnsi="Times New Roman" w:cs="Times New Roman"/>
          <w:sz w:val="28"/>
          <w:szCs w:val="28"/>
          <w:lang w:val="uk-UA"/>
        </w:rPr>
        <w:t>3657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позовн</w:t>
      </w:r>
      <w:r w:rsidR="003573E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заяв, </w:t>
      </w:r>
      <w:r w:rsidR="0005106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421BB" w:rsidRPr="00D421BB">
        <w:rPr>
          <w:rFonts w:ascii="Times New Roman" w:hAnsi="Times New Roman" w:cs="Times New Roman"/>
          <w:sz w:val="28"/>
          <w:szCs w:val="28"/>
        </w:rPr>
        <w:t>35</w:t>
      </w:r>
      <w:r w:rsidR="00194615">
        <w:rPr>
          <w:rFonts w:ascii="Times New Roman" w:hAnsi="Times New Roman" w:cs="Times New Roman"/>
          <w:sz w:val="28"/>
          <w:szCs w:val="28"/>
          <w:lang w:val="uk-UA"/>
        </w:rPr>
        <w:t xml:space="preserve"> заяв/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>клопотань</w:t>
      </w:r>
      <w:r w:rsidR="001946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0812" w:rsidRPr="003F0812">
        <w:rPr>
          <w:rFonts w:ascii="Times New Roman" w:hAnsi="Times New Roman" w:cs="Times New Roman"/>
          <w:sz w:val="28"/>
          <w:szCs w:val="28"/>
        </w:rPr>
        <w:t xml:space="preserve"> </w:t>
      </w:r>
      <w:r w:rsidR="0005106D">
        <w:rPr>
          <w:rFonts w:ascii="Times New Roman" w:hAnsi="Times New Roman" w:cs="Times New Roman"/>
          <w:sz w:val="28"/>
          <w:szCs w:val="28"/>
        </w:rPr>
        <w:t>23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заяв про перегляд  судових рішень за </w:t>
      </w:r>
      <w:proofErr w:type="spellStart"/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>нововиявленими</w:t>
      </w:r>
      <w:proofErr w:type="spellEnd"/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обставинами</w:t>
      </w:r>
      <w:r w:rsidR="007C4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4615" w:rsidRPr="008D3B20" w:rsidRDefault="003F0812" w:rsidP="008D3B20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F08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21BB" w:rsidRPr="00D421BB">
        <w:rPr>
          <w:rFonts w:ascii="Times New Roman" w:hAnsi="Times New Roman" w:cs="Times New Roman"/>
          <w:sz w:val="28"/>
          <w:szCs w:val="28"/>
        </w:rPr>
        <w:t xml:space="preserve"> 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>У 201</w:t>
      </w:r>
      <w:r w:rsidR="0005106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E3A4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 кількість позовних заяв, що надійшла до суду   в порівнянні  з аналогічним періодом 201</w:t>
      </w:r>
      <w:r w:rsidR="0005106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F0812">
        <w:rPr>
          <w:rFonts w:ascii="Times New Roman" w:hAnsi="Times New Roman" w:cs="Times New Roman"/>
          <w:sz w:val="28"/>
          <w:szCs w:val="28"/>
        </w:rPr>
        <w:t xml:space="preserve">  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037A39">
        <w:rPr>
          <w:rFonts w:ascii="Times New Roman" w:hAnsi="Times New Roman" w:cs="Times New Roman"/>
          <w:sz w:val="28"/>
          <w:szCs w:val="28"/>
          <w:lang w:val="uk-UA"/>
        </w:rPr>
        <w:t>збільшилась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037A39">
        <w:rPr>
          <w:rFonts w:ascii="Times New Roman" w:hAnsi="Times New Roman" w:cs="Times New Roman"/>
          <w:sz w:val="28"/>
          <w:szCs w:val="28"/>
          <w:lang w:val="uk-UA"/>
        </w:rPr>
        <w:t>878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7A3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94615" w:rsidRPr="0079365A">
        <w:rPr>
          <w:rFonts w:ascii="Times New Roman" w:hAnsi="Times New Roman" w:cs="Times New Roman"/>
          <w:sz w:val="28"/>
          <w:szCs w:val="28"/>
          <w:lang w:val="uk-UA"/>
        </w:rPr>
        <w:t>%).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DC203F" w:rsidRPr="0079365A" w:rsidTr="00E44E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розгляду</w:t>
            </w:r>
          </w:p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адмінпозовів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  від загальної кількості розглянутих позовних заяв</w:t>
            </w:r>
          </w:p>
          <w:p w:rsidR="00DC203F" w:rsidRPr="00C6576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  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ік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%  від загальної кількості розглянутих позовних заяв </w:t>
            </w:r>
          </w:p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</w:t>
            </w:r>
          </w:p>
        </w:tc>
      </w:tr>
      <w:tr w:rsidR="00DC203F" w:rsidRPr="00E2572F" w:rsidTr="00E44E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Відкрито провадження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E30531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E2572F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86,8</w:t>
            </w:r>
          </w:p>
        </w:tc>
      </w:tr>
      <w:tr w:rsidR="00DC203F" w:rsidRPr="00E2572F" w:rsidTr="00E44E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Повернуто позивачу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880001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E2572F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11,3</w:t>
            </w:r>
          </w:p>
        </w:tc>
      </w:tr>
      <w:tr w:rsidR="00DC203F" w:rsidRPr="00E2572F" w:rsidTr="00E44E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Відмовлено у відкритті провадження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E2572F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1,6</w:t>
            </w:r>
          </w:p>
        </w:tc>
      </w:tr>
      <w:tr w:rsidR="00DC203F" w:rsidRPr="0079365A" w:rsidTr="00E44E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3F" w:rsidRPr="0079365A" w:rsidRDefault="00DC203F" w:rsidP="00E44EF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Залишено без розгляду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3F" w:rsidRPr="0079365A" w:rsidRDefault="00DC203F" w:rsidP="00E44E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</w:tr>
    </w:tbl>
    <w:p w:rsidR="008D3B20" w:rsidRDefault="008D3B20" w:rsidP="008D3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203F" w:rsidRPr="0079365A" w:rsidRDefault="00DC203F" w:rsidP="008D3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DF1">
        <w:rPr>
          <w:rFonts w:ascii="Times New Roman" w:hAnsi="Times New Roman" w:cs="Times New Roman"/>
          <w:sz w:val="28"/>
          <w:szCs w:val="28"/>
          <w:lang w:val="uk-UA"/>
        </w:rPr>
        <w:t>Співвідношення  показників</w:t>
      </w:r>
      <w:r w:rsidRPr="00DC203F">
        <w:rPr>
          <w:rFonts w:ascii="Times New Roman" w:hAnsi="Times New Roman" w:cs="Times New Roman"/>
          <w:sz w:val="28"/>
          <w:szCs w:val="28"/>
        </w:rPr>
        <w:t xml:space="preserve"> (%)</w:t>
      </w:r>
      <w:r w:rsidRPr="003D5DF1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Pr="008D3B20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79365A">
        <w:rPr>
          <w:rFonts w:ascii="Times New Roman" w:hAnsi="Times New Roman" w:cs="Times New Roman"/>
          <w:sz w:val="28"/>
          <w:szCs w:val="28"/>
          <w:lang w:val="uk-UA"/>
        </w:rPr>
        <w:t>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розгляду</w:t>
      </w:r>
    </w:p>
    <w:p w:rsidR="00DC203F" w:rsidRPr="003D5DF1" w:rsidRDefault="008D3B20" w:rsidP="008D3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C203F" w:rsidRPr="0079365A">
        <w:rPr>
          <w:rFonts w:ascii="Times New Roman" w:hAnsi="Times New Roman" w:cs="Times New Roman"/>
          <w:sz w:val="28"/>
          <w:szCs w:val="28"/>
          <w:lang w:val="uk-UA"/>
        </w:rPr>
        <w:t>дмін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істративних </w:t>
      </w:r>
      <w:r w:rsidR="00DC203F" w:rsidRPr="0079365A">
        <w:rPr>
          <w:rFonts w:ascii="Times New Roman" w:hAnsi="Times New Roman" w:cs="Times New Roman"/>
          <w:sz w:val="28"/>
          <w:szCs w:val="28"/>
          <w:lang w:val="uk-UA"/>
        </w:rPr>
        <w:t>позовів</w:t>
      </w:r>
      <w:r w:rsidR="00DC203F" w:rsidRPr="003D5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від загальної кількості розглянутих позовних заяв</w:t>
      </w:r>
      <w:r w:rsidR="00DC203F" w:rsidRPr="003D5DF1">
        <w:rPr>
          <w:rFonts w:ascii="Times New Roman" w:hAnsi="Times New Roman" w:cs="Times New Roman"/>
          <w:sz w:val="28"/>
          <w:szCs w:val="28"/>
          <w:lang w:val="uk-UA"/>
        </w:rPr>
        <w:t xml:space="preserve"> зображено в  порівняльній діаграмі</w:t>
      </w:r>
    </w:p>
    <w:p w:rsidR="00DC203F" w:rsidRPr="00DC203F" w:rsidRDefault="00DC203F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D57" w:rsidRPr="0079365A" w:rsidRDefault="00D421BB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9337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0D57" w:rsidRPr="0079365A" w:rsidRDefault="00F10D57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E61" w:rsidRDefault="00194615" w:rsidP="0083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Порівнюючи результати розгляду  позовних заяв, слід зазначити, що у   201</w:t>
      </w:r>
      <w:r w:rsidR="00DB7BF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D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BFB">
        <w:rPr>
          <w:rFonts w:ascii="Times New Roman" w:hAnsi="Times New Roman" w:cs="Times New Roman"/>
          <w:sz w:val="28"/>
          <w:szCs w:val="28"/>
          <w:lang w:val="uk-UA"/>
        </w:rPr>
        <w:t>збільшилась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адміністративних позовів  по яких  відкрито провадження в   порівнянні з  201</w:t>
      </w:r>
      <w:r w:rsidR="004F3E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роком на </w:t>
      </w:r>
      <w:r w:rsidR="008D3B20">
        <w:rPr>
          <w:rFonts w:ascii="Times New Roman" w:hAnsi="Times New Roman" w:cs="Times New Roman"/>
          <w:sz w:val="28"/>
          <w:szCs w:val="28"/>
          <w:lang w:val="uk-UA"/>
        </w:rPr>
        <w:t>15,1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%  і становить </w:t>
      </w:r>
      <w:r w:rsidR="008D3B20">
        <w:rPr>
          <w:rFonts w:ascii="Times New Roman" w:hAnsi="Times New Roman" w:cs="Times New Roman"/>
          <w:sz w:val="28"/>
          <w:szCs w:val="28"/>
          <w:lang w:val="uk-UA"/>
        </w:rPr>
        <w:t>86,8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% від загальної кількості розглян</w:t>
      </w:r>
      <w:r w:rsidR="00321271">
        <w:rPr>
          <w:rFonts w:ascii="Times New Roman" w:hAnsi="Times New Roman" w:cs="Times New Roman"/>
          <w:sz w:val="28"/>
          <w:szCs w:val="28"/>
          <w:lang w:val="uk-UA"/>
        </w:rPr>
        <w:t xml:space="preserve">утих у </w:t>
      </w:r>
      <w:r w:rsidR="001F4B8B">
        <w:rPr>
          <w:rFonts w:ascii="Times New Roman" w:hAnsi="Times New Roman" w:cs="Times New Roman"/>
          <w:sz w:val="28"/>
          <w:szCs w:val="28"/>
          <w:lang w:val="uk-UA"/>
        </w:rPr>
        <w:t xml:space="preserve">звітному періоді позовних 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заяв. 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3B2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2998">
        <w:rPr>
          <w:rFonts w:ascii="Times New Roman" w:hAnsi="Times New Roman" w:cs="Times New Roman"/>
          <w:sz w:val="28"/>
          <w:szCs w:val="28"/>
          <w:lang w:val="uk-UA"/>
        </w:rPr>
        <w:t>меншились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оказник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щодо відмови у відкритті  прова</w:t>
      </w:r>
      <w:r w:rsidR="00882998">
        <w:rPr>
          <w:rFonts w:ascii="Times New Roman" w:hAnsi="Times New Roman" w:cs="Times New Roman"/>
          <w:sz w:val="28"/>
          <w:szCs w:val="28"/>
          <w:lang w:val="uk-UA"/>
        </w:rPr>
        <w:t>дження  на 0,5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%, 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 xml:space="preserve">  щодо повернення  заяв на </w:t>
      </w:r>
      <w:r w:rsidR="00882998">
        <w:rPr>
          <w:rFonts w:ascii="Times New Roman" w:hAnsi="Times New Roman" w:cs="Times New Roman"/>
          <w:sz w:val="28"/>
          <w:szCs w:val="28"/>
          <w:lang w:val="uk-UA"/>
        </w:rPr>
        <w:t>14,5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F10D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>залишення без розгляду</w:t>
      </w:r>
      <w:r w:rsidR="00C47DEC">
        <w:rPr>
          <w:rFonts w:ascii="Times New Roman" w:hAnsi="Times New Roman" w:cs="Times New Roman"/>
          <w:sz w:val="28"/>
          <w:szCs w:val="28"/>
          <w:lang w:val="uk-UA"/>
        </w:rPr>
        <w:t xml:space="preserve"> зменшились</w:t>
      </w:r>
    </w:p>
    <w:p w:rsidR="00194615" w:rsidRDefault="00194615" w:rsidP="0083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A376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8299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%.  </w:t>
      </w:r>
    </w:p>
    <w:p w:rsidR="00194615" w:rsidRPr="0079365A" w:rsidRDefault="00194615" w:rsidP="00831E61">
      <w:pPr>
        <w:spacing w:line="240" w:lineRule="auto"/>
        <w:ind w:left="57"/>
        <w:jc w:val="both"/>
        <w:rPr>
          <w:rFonts w:ascii="Times New Roman" w:hAnsi="Times New Roman" w:cs="Times New Roman"/>
          <w:lang w:val="uk-UA"/>
        </w:rPr>
      </w:pPr>
      <w:r w:rsidRPr="00265F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201</w:t>
      </w:r>
      <w:r w:rsidR="006D3E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F0812" w:rsidRPr="008D3B2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45643" w:rsidRPr="00F56A9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F0812" w:rsidRPr="008D3B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65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812" w:rsidRPr="008D3B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5F2A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6D3E7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45643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194615" w:rsidRPr="0079365A" w:rsidRDefault="003F0812" w:rsidP="003F0812">
      <w:pPr>
        <w:tabs>
          <w:tab w:val="left" w:pos="4678"/>
        </w:tabs>
        <w:spacing w:line="240" w:lineRule="auto"/>
        <w:ind w:left="57"/>
        <w:rPr>
          <w:rFonts w:ascii="Times New Roman" w:hAnsi="Times New Roman" w:cs="Times New Roman"/>
          <w:lang w:val="uk-UA"/>
        </w:rPr>
      </w:pPr>
      <w:r w:rsidRPr="007936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9425" cy="3086100"/>
            <wp:effectExtent l="19050" t="0" r="9525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94615" w:rsidRPr="007936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3225" cy="317182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4615" w:rsidRPr="001D24A4" w:rsidRDefault="003F0812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812">
        <w:rPr>
          <w:rFonts w:ascii="Times New Roman" w:hAnsi="Times New Roman" w:cs="Times New Roman"/>
          <w:sz w:val="24"/>
          <w:szCs w:val="24"/>
        </w:rPr>
        <w:t xml:space="preserve">      </w:t>
      </w:r>
      <w:r w:rsidR="00194615" w:rsidRPr="001D24A4">
        <w:rPr>
          <w:rFonts w:ascii="Times New Roman" w:hAnsi="Times New Roman" w:cs="Times New Roman"/>
          <w:sz w:val="24"/>
          <w:szCs w:val="24"/>
          <w:lang w:val="uk-UA"/>
        </w:rPr>
        <w:t>1) відкрито провадження -</w:t>
      </w:r>
      <w:r w:rsidR="0014640F">
        <w:rPr>
          <w:rFonts w:ascii="Times New Roman" w:hAnsi="Times New Roman" w:cs="Times New Roman"/>
          <w:sz w:val="24"/>
          <w:szCs w:val="24"/>
        </w:rPr>
        <w:t>3175</w:t>
      </w:r>
      <w:r w:rsidR="006E79DE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4615"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1) відкрито провадження –    </w:t>
      </w:r>
      <w:r w:rsidR="006D3E76">
        <w:rPr>
          <w:rFonts w:ascii="Times New Roman" w:hAnsi="Times New Roman" w:cs="Times New Roman"/>
          <w:sz w:val="24"/>
          <w:szCs w:val="24"/>
        </w:rPr>
        <w:t>2166</w:t>
      </w:r>
      <w:r w:rsidR="00194615"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</w:t>
      </w:r>
    </w:p>
    <w:p w:rsidR="00194615" w:rsidRPr="001D24A4" w:rsidRDefault="00194615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F0812" w:rsidRPr="003F0812">
        <w:rPr>
          <w:rFonts w:ascii="Times New Roman" w:hAnsi="Times New Roman" w:cs="Times New Roman"/>
          <w:sz w:val="24"/>
          <w:szCs w:val="24"/>
        </w:rPr>
        <w:t xml:space="preserve">  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 2)  повернуто                     -</w:t>
      </w:r>
      <w:r w:rsidR="0014640F">
        <w:rPr>
          <w:rFonts w:ascii="Times New Roman" w:hAnsi="Times New Roman" w:cs="Times New Roman"/>
          <w:sz w:val="24"/>
          <w:szCs w:val="24"/>
        </w:rPr>
        <w:t xml:space="preserve"> 414</w:t>
      </w:r>
      <w:r w:rsidR="006E79DE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</w:t>
      </w:r>
      <w:r w:rsidR="003F0812">
        <w:rPr>
          <w:rFonts w:ascii="Times New Roman" w:hAnsi="Times New Roman" w:cs="Times New Roman"/>
          <w:sz w:val="24"/>
          <w:szCs w:val="24"/>
        </w:rPr>
        <w:t xml:space="preserve">     </w:t>
      </w:r>
      <w:r w:rsidR="003F0812" w:rsidRPr="003F0812">
        <w:rPr>
          <w:rFonts w:ascii="Times New Roman" w:hAnsi="Times New Roman" w:cs="Times New Roman"/>
          <w:sz w:val="24"/>
          <w:szCs w:val="24"/>
        </w:rPr>
        <w:t xml:space="preserve">  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2)   повернуто                     -   </w:t>
      </w:r>
      <w:r w:rsidR="006D3E76">
        <w:rPr>
          <w:rFonts w:ascii="Times New Roman" w:hAnsi="Times New Roman" w:cs="Times New Roman"/>
          <w:sz w:val="24"/>
          <w:szCs w:val="24"/>
        </w:rPr>
        <w:t>780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4615" w:rsidRPr="001D24A4" w:rsidRDefault="00194615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F0812" w:rsidRPr="003F0812">
        <w:rPr>
          <w:rFonts w:ascii="Times New Roman" w:hAnsi="Times New Roman" w:cs="Times New Roman"/>
          <w:sz w:val="24"/>
          <w:szCs w:val="24"/>
        </w:rPr>
        <w:t xml:space="preserve">  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 3)  відмовлено у відкритті       </w:t>
      </w:r>
      <w:r w:rsidR="003F0812" w:rsidRPr="003F08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081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3)  відмовлено у відкритті </w:t>
      </w:r>
    </w:p>
    <w:p w:rsidR="00194615" w:rsidRPr="001D24A4" w:rsidRDefault="00194615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           провадження             -   </w:t>
      </w:r>
      <w:r w:rsidR="0014640F">
        <w:rPr>
          <w:rFonts w:ascii="Times New Roman" w:hAnsi="Times New Roman" w:cs="Times New Roman"/>
          <w:sz w:val="24"/>
          <w:szCs w:val="24"/>
        </w:rPr>
        <w:t>57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</w:t>
      </w:r>
      <w:r w:rsidR="005F62A0">
        <w:rPr>
          <w:rFonts w:ascii="Times New Roman" w:hAnsi="Times New Roman" w:cs="Times New Roman"/>
          <w:sz w:val="24"/>
          <w:szCs w:val="24"/>
          <w:lang w:val="uk-UA"/>
        </w:rPr>
        <w:t xml:space="preserve">     провадження               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-    </w:t>
      </w:r>
      <w:r w:rsidR="006D3E76">
        <w:rPr>
          <w:rFonts w:ascii="Times New Roman" w:hAnsi="Times New Roman" w:cs="Times New Roman"/>
          <w:sz w:val="24"/>
          <w:szCs w:val="24"/>
        </w:rPr>
        <w:t>62</w:t>
      </w:r>
      <w:r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;                 </w:t>
      </w:r>
    </w:p>
    <w:p w:rsidR="00194615" w:rsidRPr="00A168E2" w:rsidRDefault="003F0812" w:rsidP="00831E61">
      <w:pPr>
        <w:tabs>
          <w:tab w:val="left" w:pos="4395"/>
        </w:tabs>
        <w:spacing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0E3A1F">
        <w:rPr>
          <w:rFonts w:ascii="Times New Roman" w:hAnsi="Times New Roman" w:cs="Times New Roman"/>
          <w:sz w:val="24"/>
          <w:szCs w:val="24"/>
        </w:rPr>
        <w:t xml:space="preserve">     </w:t>
      </w:r>
      <w:r w:rsidR="00194615"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4) залишено без розгляду - </w:t>
      </w:r>
      <w:r w:rsidR="00DF68BA" w:rsidRPr="00DF68BA">
        <w:rPr>
          <w:rFonts w:ascii="Times New Roman" w:hAnsi="Times New Roman" w:cs="Times New Roman"/>
          <w:sz w:val="24"/>
          <w:szCs w:val="24"/>
        </w:rPr>
        <w:t>11</w:t>
      </w:r>
      <w:r w:rsidR="00831E61">
        <w:rPr>
          <w:rFonts w:ascii="Times New Roman" w:hAnsi="Times New Roman" w:cs="Times New Roman"/>
          <w:sz w:val="24"/>
          <w:szCs w:val="24"/>
          <w:lang w:val="uk-UA"/>
        </w:rPr>
        <w:t xml:space="preserve">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4615" w:rsidRPr="001D24A4">
        <w:rPr>
          <w:rFonts w:ascii="Times New Roman" w:hAnsi="Times New Roman" w:cs="Times New Roman"/>
          <w:sz w:val="24"/>
          <w:szCs w:val="24"/>
          <w:lang w:val="uk-UA"/>
        </w:rPr>
        <w:t xml:space="preserve">4) залишено без розгляду   -  </w:t>
      </w:r>
      <w:r w:rsidR="006D3E76">
        <w:rPr>
          <w:rFonts w:ascii="Times New Roman" w:hAnsi="Times New Roman" w:cs="Times New Roman"/>
          <w:sz w:val="24"/>
          <w:szCs w:val="24"/>
        </w:rPr>
        <w:t>11</w:t>
      </w:r>
      <w:r w:rsidR="00194615" w:rsidRPr="001D24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45643" w:rsidRPr="0079365A" w:rsidRDefault="00194615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        В провадженні  суду у   201</w:t>
      </w:r>
      <w:r w:rsidR="006D3E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4564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79365A">
        <w:rPr>
          <w:rFonts w:ascii="Times New Roman" w:hAnsi="Times New Roman" w:cs="Times New Roman"/>
          <w:sz w:val="28"/>
          <w:szCs w:val="28"/>
          <w:lang w:val="uk-UA"/>
        </w:rPr>
        <w:t xml:space="preserve"> перебували справи наступних категорій: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134"/>
        <w:gridCol w:w="1276"/>
        <w:gridCol w:w="1275"/>
        <w:gridCol w:w="1276"/>
      </w:tblGrid>
      <w:tr w:rsidR="00FA7B1C" w:rsidRPr="0079365A" w:rsidTr="006E79DE">
        <w:trPr>
          <w:trHeight w:val="230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val="uk-UA"/>
              </w:rPr>
            </w:pPr>
          </w:p>
          <w:p w:rsidR="00FA7B1C" w:rsidRPr="0079365A" w:rsidRDefault="00FA7B1C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Категорія справ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Загальна кількість</w:t>
            </w:r>
            <w:r w:rsidRPr="00793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(залишок на початок  звітного періоду + надійшли за звітний період)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7B1C" w:rsidRDefault="00FA7B1C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%</w:t>
            </w:r>
          </w:p>
          <w:p w:rsidR="00FA7B1C" w:rsidRPr="00FA7B1C" w:rsidRDefault="00FA7B1C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загальної кількості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надходження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79365A" w:rsidRDefault="00FA7B1C" w:rsidP="00831E61">
            <w:pPr>
              <w:spacing w:line="240" w:lineRule="auto"/>
              <w:ind w:left="57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A7B1C" w:rsidRPr="0079365A" w:rsidRDefault="00FA7B1C" w:rsidP="00831E61">
            <w:pPr>
              <w:spacing w:line="240" w:lineRule="auto"/>
              <w:ind w:left="57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7B1C" w:rsidRPr="0079365A" w:rsidRDefault="00FA7B1C" w:rsidP="00831E61">
            <w:pPr>
              <w:spacing w:line="240" w:lineRule="auto"/>
              <w:ind w:left="57" w:hanging="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793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озглянуто</w:t>
            </w:r>
          </w:p>
          <w:p w:rsidR="00FA7B1C" w:rsidRPr="0079365A" w:rsidRDefault="00FA7B1C" w:rsidP="00831E61">
            <w:pPr>
              <w:spacing w:line="240" w:lineRule="auto"/>
              <w:ind w:left="57" w:hanging="142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EB193C" w:rsidRDefault="00FA7B1C" w:rsidP="00831E61">
            <w:pPr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7B1C" w:rsidRPr="00EB193C" w:rsidRDefault="00FA7B1C" w:rsidP="00831E61">
            <w:pPr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1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% </w:t>
            </w:r>
          </w:p>
          <w:p w:rsidR="00FA7B1C" w:rsidRPr="00EB193C" w:rsidRDefault="00FA7B1C" w:rsidP="00831E61">
            <w:pPr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B1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загальної кількості розглянутих справ</w:t>
            </w:r>
          </w:p>
          <w:p w:rsidR="00FA7B1C" w:rsidRPr="00EB193C" w:rsidRDefault="00FA7B1C" w:rsidP="00831E61">
            <w:pPr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7B1C" w:rsidRPr="00EB193C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19C9" w:rsidRPr="0079365A" w:rsidTr="007A19C9">
        <w:trPr>
          <w:trHeight w:val="12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C9" w:rsidRPr="007A19C9" w:rsidRDefault="007A19C9" w:rsidP="00831E61">
            <w:pPr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19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Справи  зі спорів з приводу забезпечення реалізації громадянами права  голосу на виборах і </w:t>
            </w:r>
            <w:proofErr w:type="spellStart"/>
            <w:r w:rsidRPr="007A19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референдума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C9" w:rsidRPr="007A19C9" w:rsidRDefault="007A19C9" w:rsidP="007A19C9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1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C9" w:rsidRPr="004E319F" w:rsidRDefault="0096138F" w:rsidP="007A19C9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4E3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C9" w:rsidRPr="007A19C9" w:rsidRDefault="007A19C9" w:rsidP="007A19C9">
            <w:pPr>
              <w:spacing w:line="240" w:lineRule="auto"/>
              <w:ind w:left="5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A19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C9" w:rsidRPr="004E319F" w:rsidRDefault="004E319F" w:rsidP="004E3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забезпечення  реалізації конституційних прав особи, а також реалізації статусу депутата представницького органу влади, організації  діяльності цих органів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532CBB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4E319F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C614CB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C614CB" w:rsidP="00C614CB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10,7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забезпечення  громадського порядку та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4E319F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8D1FEF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реалізації державної політики  в сфері науки, 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8D3B20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9322CB" w:rsidRDefault="00FA7B1C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374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8D1FEF" w:rsidP="008D1FEF">
            <w:pPr>
              <w:spacing w:line="240" w:lineRule="auto"/>
              <w:ind w:left="57" w:hanging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2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79365A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реалізації державної політики у сфері  економіки</w:t>
            </w:r>
            <w:r w:rsidRPr="0079365A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4E319F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8D1FEF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7,2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забезпечення  сталого  розвитку населених пунктів та землекористування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C37E20" w:rsidRDefault="008D1FEF" w:rsidP="004E319F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E3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8D1FEF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14,6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охорони навколишнього природного середовища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8D1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8D1FEF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8D1FEF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AD60E9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Справи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зі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спорів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з приводу </w:t>
            </w:r>
            <w:proofErr w:type="spellStart"/>
            <w:proofErr w:type="gram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адм</w:t>
            </w:r>
            <w:proofErr w:type="gramEnd"/>
            <w:r w:rsidRPr="00AD60E9">
              <w:rPr>
                <w:rFonts w:ascii="Times New Roman" w:hAnsi="Times New Roman" w:cs="Times New Roman"/>
                <w:bCs/>
                <w:color w:val="000000"/>
              </w:rPr>
              <w:t>іністрування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податків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зборів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платежів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, а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також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контролю за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дотриманням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вимог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податкового</w:t>
            </w:r>
            <w:proofErr w:type="spellEnd"/>
            <w:r w:rsidRPr="00AD60E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D60E9">
              <w:rPr>
                <w:rFonts w:ascii="Times New Roman" w:hAnsi="Times New Roman" w:cs="Times New Roman"/>
                <w:bCs/>
                <w:color w:val="000000"/>
              </w:rPr>
              <w:t>законодавства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475816" w:rsidP="00475816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C37E20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475816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3A0874" w:rsidP="004E319F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</w:t>
            </w:r>
            <w:r w:rsidR="004E3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 приводу  реалізації публічної  фінансової політики</w:t>
            </w:r>
            <w:r w:rsidRPr="0079365A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475816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475816" w:rsidP="004E319F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4E3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475816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475816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реалізації публічної політики у сферах</w:t>
            </w:r>
            <w:r w:rsidR="0062677E" w:rsidRPr="00626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0A1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2C40A1">
              <w:rPr>
                <w:rFonts w:ascii="Times New Roman" w:hAnsi="Times New Roman" w:cs="Times New Roman"/>
              </w:rPr>
              <w:t>,</w:t>
            </w:r>
            <w:r w:rsidRPr="0079365A">
              <w:rPr>
                <w:rFonts w:ascii="Times New Roman" w:hAnsi="Times New Roman" w:cs="Times New Roman"/>
                <w:lang w:val="uk-UA"/>
              </w:rPr>
              <w:t xml:space="preserve"> зайнятості населення та соціального захисту  громадян</w:t>
            </w:r>
            <w:r>
              <w:rPr>
                <w:rFonts w:ascii="Times New Roman" w:hAnsi="Times New Roman" w:cs="Times New Roman"/>
                <w:lang w:val="uk-UA"/>
              </w:rPr>
              <w:t xml:space="preserve"> та спорів у сфері публічної житлової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924795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9247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8B3162" w:rsidRDefault="00924795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8B3162" w:rsidRDefault="003A0874" w:rsidP="004E319F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</w:t>
            </w:r>
            <w:r w:rsidR="004E3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Справи зі спорів  з приводу  забезпечення  юстиції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D609D9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D609D9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D609D9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4,4</w:t>
            </w:r>
          </w:p>
        </w:tc>
      </w:tr>
      <w:tr w:rsidR="00FA7B1C" w:rsidRPr="0079365A" w:rsidTr="006E79DE">
        <w:trPr>
          <w:trHeight w:val="8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65A">
              <w:rPr>
                <w:rFonts w:ascii="Times New Roman" w:hAnsi="Times New Roman" w:cs="Times New Roman"/>
                <w:lang w:val="uk-UA"/>
              </w:rPr>
              <w:t>Спори з приводу проходження публічної служби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D609D9" w:rsidP="00D609D9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4E319F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D609D9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D609D9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7,4</w:t>
            </w:r>
          </w:p>
        </w:tc>
      </w:tr>
      <w:tr w:rsidR="00FA7B1C" w:rsidRPr="0079365A" w:rsidTr="006E79D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D609D9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79365A" w:rsidRDefault="00FA7B1C" w:rsidP="00831E61">
            <w:pPr>
              <w:spacing w:line="240" w:lineRule="auto"/>
              <w:ind w:left="57" w:hanging="3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1C" w:rsidRPr="000539A0" w:rsidRDefault="005C56F4" w:rsidP="00831E61">
            <w:pPr>
              <w:spacing w:line="240" w:lineRule="auto"/>
              <w:ind w:left="57" w:hanging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1C" w:rsidRPr="000539A0" w:rsidRDefault="00B96EEA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</w:tr>
    </w:tbl>
    <w:p w:rsidR="00194615" w:rsidRPr="00FF53E6" w:rsidRDefault="00194615" w:rsidP="00831E61">
      <w:pPr>
        <w:spacing w:line="240" w:lineRule="auto"/>
        <w:ind w:left="5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94615" w:rsidRPr="008D7A7B" w:rsidRDefault="00194615" w:rsidP="00831E61">
      <w:pPr>
        <w:spacing w:after="0" w:line="240" w:lineRule="auto"/>
        <w:ind w:left="5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5F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>Із загальної кількості  позовних заяв, які перебували на розгл</w:t>
      </w:r>
      <w:r w:rsidR="008A0AD2">
        <w:rPr>
          <w:rFonts w:ascii="Times New Roman" w:hAnsi="Times New Roman" w:cs="Times New Roman"/>
          <w:sz w:val="28"/>
          <w:szCs w:val="28"/>
          <w:lang w:val="uk-UA"/>
        </w:rPr>
        <w:t>яді суду, найбільшу кількість (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більше  </w:t>
      </w:r>
      <w:r w:rsidR="00E115F5">
        <w:rPr>
          <w:rFonts w:ascii="Times New Roman" w:hAnsi="Times New Roman" w:cs="Times New Roman"/>
          <w:sz w:val="28"/>
          <w:szCs w:val="28"/>
          <w:lang w:val="uk-UA"/>
        </w:rPr>
        <w:t xml:space="preserve">34,2 </w:t>
      </w:r>
      <w:r w:rsidR="00B254F7" w:rsidRPr="008D7A7B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дсотка)  склали справи зі спорів </w:t>
      </w:r>
      <w:r w:rsidR="00B254F7" w:rsidRPr="008D7A7B">
        <w:rPr>
          <w:rFonts w:ascii="Times New Roman" w:hAnsi="Times New Roman" w:cs="Times New Roman"/>
          <w:bCs/>
          <w:sz w:val="28"/>
          <w:szCs w:val="28"/>
          <w:lang w:val="uk-UA"/>
        </w:rPr>
        <w:t>з приводу</w:t>
      </w:r>
      <w:r w:rsidR="00E11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11271" w:rsidRPr="00411271">
        <w:rPr>
          <w:rFonts w:ascii="Times New Roman" w:hAnsi="Times New Roman" w:cs="Times New Roman"/>
          <w:sz w:val="28"/>
          <w:szCs w:val="28"/>
          <w:lang w:val="uk-UA"/>
        </w:rPr>
        <w:t>реалізації публічної політики у сферах праці, зайнятості населення та соціального захисту  громадян та спорів у сфері публічної житлової політики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5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730">
        <w:rPr>
          <w:rFonts w:ascii="Times New Roman" w:hAnsi="Times New Roman" w:cs="Times New Roman"/>
          <w:sz w:val="28"/>
          <w:szCs w:val="28"/>
          <w:lang w:val="uk-UA"/>
        </w:rPr>
        <w:lastRenderedPageBreak/>
        <w:t>1326</w:t>
      </w:r>
      <w:r w:rsidR="00E11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730">
        <w:rPr>
          <w:rFonts w:ascii="Times New Roman" w:hAnsi="Times New Roman" w:cs="Times New Roman"/>
          <w:sz w:val="28"/>
          <w:szCs w:val="28"/>
          <w:lang w:val="uk-UA"/>
        </w:rPr>
        <w:t xml:space="preserve">і справи зі спорів  з приводу </w:t>
      </w:r>
      <w:r w:rsidR="00F52730" w:rsidRPr="00F527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адміністрування податків, зборів, платежів, а також контролю за дотриманням вимог податкового </w:t>
      </w:r>
      <w:proofErr w:type="spellStart"/>
      <w:r w:rsidR="00F52730" w:rsidRPr="00F527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законодавства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End"/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730">
        <w:rPr>
          <w:rFonts w:ascii="Times New Roman" w:hAnsi="Times New Roman" w:cs="Times New Roman"/>
          <w:sz w:val="28"/>
          <w:szCs w:val="28"/>
          <w:lang w:val="uk-UA"/>
        </w:rPr>
        <w:t xml:space="preserve">680 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(близько </w:t>
      </w:r>
      <w:r w:rsidR="00E115F5">
        <w:rPr>
          <w:rFonts w:ascii="Times New Roman" w:hAnsi="Times New Roman" w:cs="Times New Roman"/>
          <w:sz w:val="28"/>
          <w:szCs w:val="28"/>
          <w:lang w:val="uk-UA"/>
        </w:rPr>
        <w:t>17,5</w:t>
      </w:r>
      <w:r w:rsidR="00F52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4F7" w:rsidRPr="008D7A7B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8D7A7B">
        <w:rPr>
          <w:rFonts w:ascii="Times New Roman" w:hAnsi="Times New Roman" w:cs="Times New Roman"/>
          <w:sz w:val="28"/>
          <w:szCs w:val="28"/>
          <w:lang w:val="uk-UA"/>
        </w:rPr>
        <w:t xml:space="preserve">).         </w:t>
      </w:r>
    </w:p>
    <w:p w:rsidR="00194615" w:rsidRPr="00F16AD7" w:rsidRDefault="00E115F5" w:rsidP="00831E61">
      <w:pPr>
        <w:spacing w:after="0" w:line="240" w:lineRule="auto"/>
        <w:ind w:left="57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 201</w:t>
      </w:r>
      <w:r w:rsidR="00F52730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 w:rsidR="008D7A7B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провадженні суду перебувал</w:t>
      </w:r>
      <w:r w:rsidR="008D7A7B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85E3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3875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справ, закінчено провадження по </w:t>
      </w:r>
      <w:r w:rsidR="00F85E3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3305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Їх питома вага від кількості справ, що перебували у провадженні склала 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BC360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5%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відсотків, у тому числі:</w:t>
      </w:r>
    </w:p>
    <w:p w:rsidR="00194615" w:rsidRPr="00F16AD7" w:rsidRDefault="00194615" w:rsidP="00831E61">
      <w:pPr>
        <w:spacing w:after="0" w:line="240" w:lineRule="auto"/>
        <w:ind w:left="5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з прийняттям постанови - </w:t>
      </w:r>
      <w:r w:rsidR="00E115F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2911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E47B06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8,1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%), із  них задоволено </w:t>
      </w:r>
      <w:r w:rsidR="008D7A7B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позов</w:t>
      </w:r>
      <w:r w:rsidR="00E47B06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2320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справах;</w:t>
      </w:r>
    </w:p>
    <w:p w:rsidR="00194615" w:rsidRPr="00F16AD7" w:rsidRDefault="00B75852" w:rsidP="00831E61">
      <w:pPr>
        <w:spacing w:after="0" w:line="240" w:lineRule="auto"/>
        <w:ind w:left="5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="00017379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передано до інших судів -  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19 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справ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E47B06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%);</w:t>
      </w:r>
    </w:p>
    <w:p w:rsidR="00194615" w:rsidRPr="00F16AD7" w:rsidRDefault="00194615" w:rsidP="00831E61">
      <w:pPr>
        <w:spacing w:after="0" w:line="240" w:lineRule="auto"/>
        <w:ind w:left="5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закрито провадження по 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106 </w:t>
      </w:r>
      <w:r w:rsidR="00721BE0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справ</w:t>
      </w:r>
      <w:proofErr w:type="spellStart"/>
      <w:r w:rsidR="00831E61" w:rsidRPr="00F16AD7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proofErr w:type="spellEnd"/>
      <w:r w:rsidR="00721BE0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721BE0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%);</w:t>
      </w:r>
    </w:p>
    <w:p w:rsidR="00194615" w:rsidRPr="00F16AD7" w:rsidRDefault="00017379" w:rsidP="00831E61">
      <w:pPr>
        <w:spacing w:after="0" w:line="240" w:lineRule="auto"/>
        <w:ind w:left="5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залишено без розгляду -  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269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B75852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721BE0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,1</w:t>
      </w:r>
      <w:r w:rsidR="00194615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%).</w:t>
      </w:r>
    </w:p>
    <w:p w:rsidR="00194615" w:rsidRPr="00F16AD7" w:rsidRDefault="00194615" w:rsidP="00831E61">
      <w:pPr>
        <w:spacing w:after="0" w:line="240" w:lineRule="auto"/>
        <w:ind w:left="5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94615" w:rsidRPr="00F16AD7" w:rsidRDefault="00194615" w:rsidP="00831E61">
      <w:pPr>
        <w:spacing w:after="0" w:line="240" w:lineRule="auto"/>
        <w:ind w:left="5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Співвідношення  показників, щодо розгляду позовних заяв  та справ зображено в  порівняльній діаграмі</w:t>
      </w:r>
    </w:p>
    <w:p w:rsidR="00194615" w:rsidRPr="003D5DF1" w:rsidRDefault="00194615" w:rsidP="00831E61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194615" w:rsidRPr="00FF53E6" w:rsidRDefault="00194615" w:rsidP="00831E61">
      <w:pPr>
        <w:spacing w:line="240" w:lineRule="auto"/>
        <w:ind w:left="57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FF53E6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05525" cy="3200400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4615" w:rsidRPr="003E357C" w:rsidRDefault="003F7A41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У    201</w:t>
      </w:r>
      <w:r w:rsidR="00B7585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B75852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судом постановлено </w:t>
      </w:r>
      <w:r w:rsidR="003E357C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85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E357C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окрем</w:t>
      </w:r>
      <w:r w:rsidR="00B7585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 ухвал.</w:t>
      </w:r>
    </w:p>
    <w:p w:rsidR="001C4891" w:rsidRPr="003E357C" w:rsidRDefault="00B75852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До Житомирського окружного адміністративного суду у звітному періоді надійшл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21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про перегляд судових рішень за </w:t>
      </w:r>
      <w:proofErr w:type="spellStart"/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нововиявленими</w:t>
      </w:r>
      <w:proofErr w:type="spellEnd"/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обставинами, залишок заяв на початок звітного періоду складав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94615" w:rsidRPr="003E357C">
        <w:rPr>
          <w:rFonts w:ascii="Times New Roman" w:hAnsi="Times New Roman" w:cs="Times New Roman"/>
          <w:sz w:val="28"/>
          <w:szCs w:val="28"/>
        </w:rPr>
        <w:t>.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Всього в провадженні суду у вказаному періоді перебувало </w:t>
      </w:r>
      <w:r w:rsidR="00B61CF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заяв про перегляд судових рішень за </w:t>
      </w:r>
      <w:proofErr w:type="spellStart"/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нововиявленими</w:t>
      </w:r>
      <w:proofErr w:type="spellEnd"/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обставинами, з них:</w:t>
      </w:r>
    </w:p>
    <w:p w:rsidR="00194615" w:rsidRPr="00EB193C" w:rsidRDefault="00B75852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C4891" w:rsidRPr="003E357C">
        <w:rPr>
          <w:rFonts w:ascii="Times New Roman" w:hAnsi="Times New Roman" w:cs="Times New Roman"/>
          <w:sz w:val="28"/>
          <w:szCs w:val="28"/>
          <w:lang w:val="uk-UA"/>
        </w:rPr>
        <w:t>-  повернуто</w:t>
      </w:r>
      <w:r w:rsidR="00670D70" w:rsidRPr="003E3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D70" w:rsidRPr="003E357C">
        <w:rPr>
          <w:rFonts w:ascii="Times New Roman" w:hAnsi="Times New Roman" w:cs="Times New Roman"/>
          <w:sz w:val="28"/>
          <w:szCs w:val="28"/>
        </w:rPr>
        <w:t>заявнику</w:t>
      </w:r>
      <w:proofErr w:type="spellEnd"/>
      <w:r w:rsidR="001C4891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4891" w:rsidRPr="003E35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615" w:rsidRPr="003E357C" w:rsidRDefault="00B75852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- закінчено провадження  по</w:t>
      </w:r>
      <w:r w:rsidR="002A4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, у тому числі:</w:t>
      </w:r>
    </w:p>
    <w:p w:rsidR="00194615" w:rsidRPr="003E357C" w:rsidRDefault="00B75852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267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а) скасовано з прийняттям нової постанови –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615" w:rsidRPr="00993F48" w:rsidRDefault="00B75852" w:rsidP="007C1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26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б) заяву залишено без задоволення –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6AD7" w:rsidRPr="00F16AD7" w:rsidRDefault="0062677E" w:rsidP="007C1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16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AD7">
        <w:rPr>
          <w:rFonts w:ascii="Times New Roman" w:hAnsi="Times New Roman" w:cs="Times New Roman"/>
          <w:sz w:val="28"/>
          <w:szCs w:val="28"/>
          <w:lang w:val="uk-UA"/>
        </w:rPr>
        <w:t xml:space="preserve">в)  заяву </w:t>
      </w:r>
      <w:r w:rsidR="00F16AD7" w:rsidRP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залишено без розгляду</w:t>
      </w:r>
      <w:r w:rsidRPr="0062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- 1</w:t>
      </w:r>
      <w:r w:rsidR="00F16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D1DDF" w:rsidRPr="008D1DDF" w:rsidRDefault="008D1DDF" w:rsidP="007C1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AD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31E61" w:rsidRDefault="00B75852" w:rsidP="007C1E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- залишок нерозглянутих заяв на кінець звітного періоду, по яких відкрито провадження за </w:t>
      </w:r>
      <w:proofErr w:type="spellStart"/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нововиявленими</w:t>
      </w:r>
      <w:proofErr w:type="spellEnd"/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 xml:space="preserve"> обставинами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94615" w:rsidRPr="003E35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4615" w:rsidRPr="00A00E00" w:rsidRDefault="00B75852" w:rsidP="00831E61">
      <w:pPr>
        <w:spacing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02BF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        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Крім того, у порядку виконання судових рішень, у  201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 w:rsidR="003E357C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судом розглянуто </w:t>
      </w:r>
      <w:r w:rsidR="00F16AD7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2002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клопотанн</w:t>
      </w:r>
      <w:r w:rsidR="00F16AD7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(статистич</w:t>
      </w:r>
      <w:r w:rsidR="00D60CF8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 дані відображено у  таблиці)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5518"/>
        <w:gridCol w:w="2175"/>
      </w:tblGrid>
      <w:tr w:rsidR="00194615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п/</w:t>
            </w:r>
            <w:proofErr w:type="spellStart"/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Результати розгляду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</w:tr>
      <w:tr w:rsidR="00194615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1.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надійшли у звітному періоді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F16AD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2061</w:t>
            </w:r>
          </w:p>
        </w:tc>
      </w:tr>
      <w:tr w:rsidR="00194615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залишок на початок звітного періоду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F16AD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</w:t>
            </w:r>
          </w:p>
        </w:tc>
      </w:tr>
      <w:tr w:rsidR="00194615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670D70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3</w:t>
            </w:r>
            <w:r w:rsidR="00194615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залишено без розгляду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F16AD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A56A7" w:rsidRPr="00A00E00" w:rsidTr="00EA56A7">
        <w:trPr>
          <w:trHeight w:val="66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A7" w:rsidRPr="00A00E00" w:rsidRDefault="00EA56A7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4.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A7" w:rsidRPr="00A00E00" w:rsidRDefault="00EA56A7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повернуто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A7" w:rsidRPr="00A00E00" w:rsidRDefault="00F16AD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</w:tr>
      <w:tr w:rsidR="00D60CF8" w:rsidRPr="00A00E00" w:rsidTr="00EA56A7">
        <w:trPr>
          <w:trHeight w:val="66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8" w:rsidRPr="00A00E00" w:rsidRDefault="00D60CF8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5.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8" w:rsidRPr="00A00E00" w:rsidRDefault="00D60CF8" w:rsidP="00831E61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відмовлено у </w:t>
            </w:r>
            <w:r w:rsidR="00AA710F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710F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задоволенні</w:t>
            </w:r>
            <w:proofErr w:type="spellEnd"/>
            <w:r w:rsidR="00AA710F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A710F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заяви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8" w:rsidRPr="00A00E00" w:rsidRDefault="00D60CF8" w:rsidP="00F16AD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F16AD7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49</w:t>
            </w:r>
          </w:p>
        </w:tc>
      </w:tr>
      <w:tr w:rsidR="00EA56A7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A7" w:rsidRPr="00A00E00" w:rsidRDefault="00EA56A7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A7" w:rsidRPr="00A00E00" w:rsidRDefault="00EA56A7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A7" w:rsidRPr="00A00E00" w:rsidRDefault="00EA56A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94615" w:rsidRPr="00A00E00" w:rsidTr="00EA56A7">
        <w:trPr>
          <w:trHeight w:val="56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15" w:rsidRPr="00A00E00" w:rsidRDefault="00060CF1" w:rsidP="00F16AD7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16AD7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задоволено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15" w:rsidRPr="00A00E00" w:rsidRDefault="00D60CF8" w:rsidP="00F16AD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F16AD7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838</w:t>
            </w:r>
          </w:p>
        </w:tc>
      </w:tr>
      <w:tr w:rsidR="00194615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060CF1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194615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розглянуто з порушенням термінів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F16AD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151</w:t>
            </w:r>
          </w:p>
        </w:tc>
      </w:tr>
      <w:tr w:rsidR="00194615" w:rsidRPr="00A00E00" w:rsidTr="00EA56A7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060CF1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194615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194615" w:rsidP="00831E61">
            <w:pPr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залишок нерозглянутих клопотань, </w:t>
            </w:r>
            <w:r w:rsidR="00EA56A7"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</w:t>
            </w: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ань, заяв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5" w:rsidRPr="00A00E00" w:rsidRDefault="00F16AD7" w:rsidP="00831E61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00E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103</w:t>
            </w:r>
          </w:p>
        </w:tc>
      </w:tr>
    </w:tbl>
    <w:p w:rsidR="00194615" w:rsidRPr="00A00E00" w:rsidRDefault="00F16AD7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Також,  протягом 201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судом розглянуто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B7175E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забезпечення  доказів</w:t>
      </w:r>
      <w:r w:rsidR="004C6ED8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92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клопотан</w:t>
      </w:r>
      <w:r w:rsidR="00B7175E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забезпечення позову</w:t>
      </w:r>
      <w:r w:rsidR="004C6ED8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4C6ED8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  про скасування заходів  забезпечення позову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94615" w:rsidRPr="00A00E00" w:rsidRDefault="00194615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Середньомісячне навантаження на одного суддю у звітному періоді  щодо надходження позовних заяв становить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постановлених судових рішень -</w:t>
      </w:r>
      <w:r w:rsidR="006267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52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                                                                                                                            </w:t>
      </w:r>
    </w:p>
    <w:p w:rsidR="00194615" w:rsidRPr="00A00E00" w:rsidRDefault="00194615" w:rsidP="00831E61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6267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кінець звітного періоду залишилося нерозглянутими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570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адміністративн</w:t>
      </w:r>
      <w:r w:rsidR="000778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справ</w:t>
      </w:r>
      <w:bookmarkStart w:id="0" w:name="_GoBack"/>
      <w:bookmarkEnd w:id="0"/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із них  по </w:t>
      </w:r>
      <w:r w:rsidR="008F2A4B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зупинено провадження.</w:t>
      </w:r>
    </w:p>
    <w:p w:rsidR="00B4592D" w:rsidRPr="00A00E00" w:rsidRDefault="00A00E00" w:rsidP="007C1E41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 адміністративних позовах, які надійшли до суду у 201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</w:t>
      </w:r>
      <w:proofErr w:type="spellStart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пред’</w:t>
      </w:r>
      <w:proofErr w:type="spellEnd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явлено  до </w:t>
      </w:r>
      <w:proofErr w:type="spellStart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>стягнення</w:t>
      </w:r>
      <w:proofErr w:type="spellEnd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156542182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ив</w:t>
      </w:r>
      <w:r w:rsidR="00EB6EA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</w:t>
      </w:r>
      <w:proofErr w:type="spellEnd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За звітний період  присуджено до </w:t>
      </w:r>
      <w:proofErr w:type="spellStart"/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стягнен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proofErr w:type="spellEnd"/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140101826 г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рив</w:t>
      </w:r>
      <w:r w:rsidR="00EB6EA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ень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 тому числі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 гривень моральної шкоди.</w:t>
      </w:r>
    </w:p>
    <w:p w:rsidR="00194615" w:rsidRPr="00A00E00" w:rsidRDefault="00194615" w:rsidP="007C1E41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Житомирським окружним адміністративним судом у 201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C821BB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видано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1575</w:t>
      </w:r>
      <w:r w:rsidR="00485B51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виконавчих лист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</w:t>
      </w:r>
      <w:r w:rsidR="00A00E0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77572453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гривень.</w:t>
      </w:r>
    </w:p>
    <w:p w:rsidR="00DC578B" w:rsidRPr="00A00E00" w:rsidRDefault="00A00E00" w:rsidP="007C1E41">
      <w:pPr>
        <w:spacing w:after="0" w:line="240" w:lineRule="auto"/>
        <w:ind w:left="57"/>
        <w:jc w:val="both"/>
        <w:rPr>
          <w:color w:val="000000" w:themeColor="text1"/>
          <w:sz w:val="28"/>
          <w:szCs w:val="28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Понад строки, встановлені Кодексом адміністративного судочинства України, розглянуто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970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</w:t>
      </w:r>
      <w:r w:rsidR="00C40913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</w:t>
      </w:r>
      <w:r w:rsidR="005F62A0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E78B6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C40913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="00C40913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804</w:t>
      </w:r>
      <w:r w:rsidR="00C40913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становить </w:t>
      </w:r>
      <w:r w:rsidR="008E78B6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відсотк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усіх розглянутих 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 w:rsidR="00434994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194615" w:rsidRPr="00A00E00" w:rsidRDefault="00A00E00" w:rsidP="00831E61">
      <w:pPr>
        <w:spacing w:after="0" w:line="240" w:lineRule="auto"/>
        <w:ind w:left="57" w:firstLine="14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Основною причиною порушення строків розгляду справ  є неявка в судові засідання учасників процесу.</w:t>
      </w:r>
    </w:p>
    <w:p w:rsidR="000E3A1F" w:rsidRPr="007702BF" w:rsidRDefault="00A00E00" w:rsidP="00831E61">
      <w:pPr>
        <w:spacing w:after="0" w:line="240" w:lineRule="auto"/>
        <w:ind w:left="57" w:firstLine="142"/>
        <w:rPr>
          <w:rFonts w:ascii="Times New Roman" w:hAnsi="Times New Roman" w:cs="Times New Roman"/>
          <w:color w:val="C00000"/>
          <w:sz w:val="28"/>
          <w:szCs w:val="28"/>
        </w:rPr>
      </w:pP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кінець звітного періоду відкладено  розгляд  </w:t>
      </w:r>
      <w:r w:rsidR="00E46B43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справ.  Причина тривалого відкладення розгляду справ - неявка одного з учасників процесу, що беруть участь у справі –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112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них </w:t>
      </w:r>
      <w:r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94615" w:rsidRPr="00A00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через невручення судових повісток</w:t>
      </w:r>
      <w:r w:rsidR="00194615" w:rsidRPr="007702BF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194615" w:rsidRPr="007702BF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923F8B" w:rsidRPr="006C05B2" w:rsidRDefault="00A00E00" w:rsidP="00831E61">
      <w:pPr>
        <w:spacing w:after="0" w:line="240" w:lineRule="auto"/>
        <w:ind w:left="57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звітній період було оскаржено </w:t>
      </w:r>
      <w:r w:rsidR="00735467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59 </w:t>
      </w:r>
      <w:proofErr w:type="spellStart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судов</w:t>
      </w:r>
      <w:proofErr w:type="spellEnd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рішень,  що становить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735467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35467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відсотка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873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прийнятих у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</w:t>
      </w:r>
      <w:r w:rsidR="00055970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="00923F8B" w:rsidRPr="006C05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="00993F48" w:rsidRPr="006C0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наявними в суді даними, після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апеляційного перегляду повернулося </w:t>
      </w:r>
      <w:r w:rsidR="007D1054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2238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7C1E41" w:rsidRPr="007C1E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справи. З них: скасовано </w:t>
      </w:r>
      <w:r w:rsidR="004F72B0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 ( в  тому числі частково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2B0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та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ухвал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в то</w:t>
      </w:r>
      <w:r w:rsidR="0077543D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числі частково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3C8F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складає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524F9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238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відсотка від загальної кількості розглянутих судом за цей період справ,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змінено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 </w:t>
      </w:r>
      <w:r w:rsidR="00C354E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 в  тому числі частково</w:t>
      </w:r>
      <w:r w:rsidR="00102BF0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4F72B0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та 1 ухвала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="006C05B2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851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судових рішень – залишено без змін.  По інших рішеннях  - ще немає  результатів апеляційного розгляду.</w:t>
      </w:r>
    </w:p>
    <w:p w:rsidR="00923F8B" w:rsidRPr="006C05B2" w:rsidRDefault="006C05B2" w:rsidP="00831E61">
      <w:pPr>
        <w:spacing w:after="0" w:line="240" w:lineRule="auto"/>
        <w:ind w:left="57" w:firstLine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4B78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65D97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Окрім того, протягом 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201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після апеляційного перегляду повернулося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справ, які  були розглянуті Житомирським окружним адміністративним судом  у 20</w:t>
      </w:r>
      <w:r w:rsidR="00C354E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- 201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роках. По даних справах   було скасовано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7543D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тому </w:t>
      </w:r>
      <w:proofErr w:type="spellStart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частково</w:t>
      </w:r>
      <w:proofErr w:type="spellEnd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) і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ухвал</w:t>
      </w:r>
      <w:r w:rsidR="0059517A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02BF0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Start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мінено</w:t>
      </w:r>
      <w:proofErr w:type="spellEnd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 </w:t>
      </w:r>
      <w:r w:rsidR="00C354E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останов</w:t>
      </w:r>
      <w:r w:rsidR="00432D9E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тому </w:t>
      </w:r>
      <w:proofErr w:type="spellStart"/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частково</w:t>
      </w:r>
      <w:proofErr w:type="spellEnd"/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-2) та 1 </w:t>
      </w:r>
      <w:proofErr w:type="spellStart"/>
      <w:r w:rsidR="00993F48" w:rsidRPr="006C05B2">
        <w:rPr>
          <w:rFonts w:ascii="Times New Roman" w:hAnsi="Times New Roman" w:cs="Times New Roman"/>
          <w:color w:val="000000" w:themeColor="text1"/>
          <w:sz w:val="28"/>
          <w:szCs w:val="28"/>
        </w:rPr>
        <w:t>ухвалу</w:t>
      </w:r>
      <w:proofErr w:type="spellEnd"/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</w:t>
      </w:r>
      <w:r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357</w:t>
      </w:r>
      <w:r w:rsidR="00923F8B" w:rsidRPr="006C05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судових  рішень – залишено без змін. </w:t>
      </w:r>
    </w:p>
    <w:p w:rsidR="00E477B9" w:rsidRPr="004B7896" w:rsidRDefault="006C05B2" w:rsidP="00831E61">
      <w:pPr>
        <w:pStyle w:val="3"/>
        <w:shd w:val="clear" w:color="auto" w:fill="auto"/>
        <w:spacing w:after="0" w:line="240" w:lineRule="auto"/>
        <w:ind w:left="57" w:right="20" w:firstLine="142"/>
        <w:jc w:val="both"/>
        <w:rPr>
          <w:sz w:val="28"/>
          <w:szCs w:val="28"/>
          <w:lang w:eastAsia="uk-UA"/>
        </w:rPr>
      </w:pPr>
      <w:r>
        <w:rPr>
          <w:color w:val="C00000"/>
          <w:sz w:val="28"/>
          <w:szCs w:val="28"/>
        </w:rPr>
        <w:t xml:space="preserve">      </w:t>
      </w:r>
      <w:r w:rsidR="004B7896">
        <w:rPr>
          <w:color w:val="C00000"/>
          <w:sz w:val="28"/>
          <w:szCs w:val="28"/>
          <w:lang w:val="uk-UA"/>
        </w:rPr>
        <w:t xml:space="preserve"> </w:t>
      </w:r>
      <w:proofErr w:type="spellStart"/>
      <w:r w:rsidR="00EF5087" w:rsidRPr="004B7896">
        <w:rPr>
          <w:sz w:val="28"/>
          <w:szCs w:val="28"/>
        </w:rPr>
        <w:t>Узагальнюючи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судову</w:t>
      </w:r>
      <w:proofErr w:type="spellEnd"/>
      <w:r w:rsidR="00EF5087" w:rsidRPr="004B7896">
        <w:rPr>
          <w:sz w:val="28"/>
          <w:szCs w:val="28"/>
        </w:rPr>
        <w:t xml:space="preserve"> практику про </w:t>
      </w:r>
      <w:proofErr w:type="spellStart"/>
      <w:r w:rsidR="00EF5087" w:rsidRPr="004B7896">
        <w:rPr>
          <w:sz w:val="28"/>
          <w:szCs w:val="28"/>
        </w:rPr>
        <w:t>результати</w:t>
      </w:r>
      <w:proofErr w:type="spellEnd"/>
      <w:r w:rsidR="00EF5087" w:rsidRPr="004B7896">
        <w:rPr>
          <w:sz w:val="28"/>
          <w:szCs w:val="28"/>
        </w:rPr>
        <w:t xml:space="preserve"> перегляду справ </w:t>
      </w:r>
      <w:proofErr w:type="spellStart"/>
      <w:r w:rsidR="00EF5087" w:rsidRPr="004B7896">
        <w:rPr>
          <w:sz w:val="28"/>
          <w:szCs w:val="28"/>
        </w:rPr>
        <w:t>апеляційною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інстанцією</w:t>
      </w:r>
      <w:proofErr w:type="spellEnd"/>
      <w:r w:rsidR="00EF5087" w:rsidRPr="004B7896">
        <w:rPr>
          <w:sz w:val="28"/>
          <w:szCs w:val="28"/>
        </w:rPr>
        <w:t xml:space="preserve">, </w:t>
      </w:r>
      <w:proofErr w:type="spellStart"/>
      <w:r w:rsidR="00EF5087" w:rsidRPr="004B7896">
        <w:rPr>
          <w:sz w:val="28"/>
          <w:szCs w:val="28"/>
        </w:rPr>
        <w:t>слід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зазначити</w:t>
      </w:r>
      <w:proofErr w:type="spellEnd"/>
      <w:r w:rsidR="00EF5087" w:rsidRPr="004B7896">
        <w:rPr>
          <w:sz w:val="28"/>
          <w:szCs w:val="28"/>
        </w:rPr>
        <w:t xml:space="preserve">, </w:t>
      </w:r>
      <w:proofErr w:type="spellStart"/>
      <w:r w:rsidR="00EF5087" w:rsidRPr="004B7896">
        <w:rPr>
          <w:sz w:val="28"/>
          <w:szCs w:val="28"/>
        </w:rPr>
        <w:t>що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основними</w:t>
      </w:r>
      <w:proofErr w:type="spellEnd"/>
      <w:r w:rsidR="00EF5087" w:rsidRPr="004B7896">
        <w:rPr>
          <w:sz w:val="28"/>
          <w:szCs w:val="28"/>
        </w:rPr>
        <w:t xml:space="preserve"> причинами </w:t>
      </w:r>
      <w:proofErr w:type="spellStart"/>
      <w:r w:rsidR="00EF5087" w:rsidRPr="004B7896">
        <w:rPr>
          <w:sz w:val="28"/>
          <w:szCs w:val="28"/>
        </w:rPr>
        <w:t>скасування</w:t>
      </w:r>
      <w:proofErr w:type="spellEnd"/>
      <w:r w:rsidR="00EF5087" w:rsidRPr="004B7896">
        <w:rPr>
          <w:sz w:val="28"/>
          <w:szCs w:val="28"/>
        </w:rPr>
        <w:t xml:space="preserve"> та </w:t>
      </w:r>
      <w:proofErr w:type="spellStart"/>
      <w:r w:rsidR="00EF5087" w:rsidRPr="004B7896">
        <w:rPr>
          <w:sz w:val="28"/>
          <w:szCs w:val="28"/>
        </w:rPr>
        <w:t>зміни</w:t>
      </w:r>
      <w:proofErr w:type="spellEnd"/>
      <w:r w:rsidR="00EF5087" w:rsidRPr="004B7896">
        <w:rPr>
          <w:sz w:val="28"/>
          <w:szCs w:val="28"/>
        </w:rPr>
        <w:t xml:space="preserve"> </w:t>
      </w:r>
      <w:r w:rsidR="008902C3" w:rsidRPr="004B7896">
        <w:rPr>
          <w:sz w:val="28"/>
          <w:szCs w:val="28"/>
          <w:lang w:val="uk-UA"/>
        </w:rPr>
        <w:t>п</w:t>
      </w:r>
      <w:r w:rsidR="00EF5087" w:rsidRPr="004B7896">
        <w:rPr>
          <w:sz w:val="28"/>
          <w:szCs w:val="28"/>
        </w:rPr>
        <w:t>останов суду</w:t>
      </w:r>
      <w:proofErr w:type="gramStart"/>
      <w:r w:rsidR="00EF5087" w:rsidRPr="004B7896">
        <w:rPr>
          <w:sz w:val="28"/>
          <w:szCs w:val="28"/>
        </w:rPr>
        <w:t xml:space="preserve"> є:</w:t>
      </w:r>
      <w:proofErr w:type="gram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порушення</w:t>
      </w:r>
      <w:proofErr w:type="spellEnd"/>
      <w:r w:rsidR="00EF5087" w:rsidRPr="004B7896">
        <w:rPr>
          <w:sz w:val="28"/>
          <w:szCs w:val="28"/>
        </w:rPr>
        <w:t xml:space="preserve"> норм </w:t>
      </w:r>
      <w:proofErr w:type="spellStart"/>
      <w:r w:rsidR="00EF5087" w:rsidRPr="004B7896">
        <w:rPr>
          <w:sz w:val="28"/>
          <w:szCs w:val="28"/>
        </w:rPr>
        <w:t>матеріального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або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процесуального</w:t>
      </w:r>
      <w:proofErr w:type="spellEnd"/>
      <w:r w:rsidR="00EF5087" w:rsidRPr="004B7896">
        <w:rPr>
          <w:sz w:val="28"/>
          <w:szCs w:val="28"/>
        </w:rPr>
        <w:t xml:space="preserve"> права, </w:t>
      </w:r>
      <w:proofErr w:type="spellStart"/>
      <w:r w:rsidR="00EF5087" w:rsidRPr="004B7896">
        <w:rPr>
          <w:sz w:val="28"/>
          <w:szCs w:val="28"/>
        </w:rPr>
        <w:t>висновки</w:t>
      </w:r>
      <w:proofErr w:type="spellEnd"/>
      <w:r w:rsidR="00EF5087" w:rsidRPr="004B7896">
        <w:rPr>
          <w:sz w:val="28"/>
          <w:szCs w:val="28"/>
        </w:rPr>
        <w:t xml:space="preserve">, </w:t>
      </w:r>
      <w:proofErr w:type="spellStart"/>
      <w:r w:rsidR="00EF5087" w:rsidRPr="004B7896">
        <w:rPr>
          <w:sz w:val="28"/>
          <w:szCs w:val="28"/>
        </w:rPr>
        <w:t>що</w:t>
      </w:r>
      <w:proofErr w:type="spellEnd"/>
      <w:r w:rsidR="00EF5087" w:rsidRPr="004B7896">
        <w:rPr>
          <w:sz w:val="28"/>
          <w:szCs w:val="28"/>
        </w:rPr>
        <w:t xml:space="preserve"> не </w:t>
      </w:r>
      <w:proofErr w:type="spellStart"/>
      <w:r w:rsidR="00EF5087" w:rsidRPr="004B7896">
        <w:rPr>
          <w:sz w:val="28"/>
          <w:szCs w:val="28"/>
        </w:rPr>
        <w:t>відповідають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обставинам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справи</w:t>
      </w:r>
      <w:proofErr w:type="spellEnd"/>
      <w:r w:rsidR="00EF5087" w:rsidRPr="004B7896">
        <w:rPr>
          <w:sz w:val="28"/>
          <w:szCs w:val="28"/>
        </w:rPr>
        <w:t xml:space="preserve">, </w:t>
      </w:r>
      <w:proofErr w:type="spellStart"/>
      <w:r w:rsidR="00EF5087" w:rsidRPr="004B7896">
        <w:rPr>
          <w:sz w:val="28"/>
          <w:szCs w:val="28"/>
        </w:rPr>
        <w:t>неповне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з’ясування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обставин</w:t>
      </w:r>
      <w:proofErr w:type="spellEnd"/>
      <w:r w:rsidR="00EF5087" w:rsidRPr="004B7896">
        <w:rPr>
          <w:sz w:val="28"/>
          <w:szCs w:val="28"/>
        </w:rPr>
        <w:t xml:space="preserve">, </w:t>
      </w:r>
      <w:proofErr w:type="spellStart"/>
      <w:r w:rsidR="00EF5087" w:rsidRPr="004B7896">
        <w:rPr>
          <w:sz w:val="28"/>
          <w:szCs w:val="28"/>
        </w:rPr>
        <w:t>що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мають</w:t>
      </w:r>
      <w:proofErr w:type="spellEnd"/>
      <w:r w:rsidR="00EF5087" w:rsidRPr="004B7896">
        <w:rPr>
          <w:sz w:val="28"/>
          <w:szCs w:val="28"/>
        </w:rPr>
        <w:t xml:space="preserve"> </w:t>
      </w:r>
      <w:proofErr w:type="spellStart"/>
      <w:r w:rsidR="00EF5087" w:rsidRPr="004B7896">
        <w:rPr>
          <w:sz w:val="28"/>
          <w:szCs w:val="28"/>
        </w:rPr>
        <w:t>значення</w:t>
      </w:r>
      <w:proofErr w:type="spellEnd"/>
      <w:r w:rsidR="00EF5087" w:rsidRPr="004B7896">
        <w:rPr>
          <w:sz w:val="28"/>
          <w:szCs w:val="28"/>
        </w:rPr>
        <w:t xml:space="preserve"> для </w:t>
      </w:r>
      <w:proofErr w:type="spellStart"/>
      <w:r w:rsidR="00EF5087" w:rsidRPr="004B7896">
        <w:rPr>
          <w:sz w:val="28"/>
          <w:szCs w:val="28"/>
        </w:rPr>
        <w:t>справи</w:t>
      </w:r>
      <w:proofErr w:type="spellEnd"/>
      <w:r w:rsidR="00AA1538" w:rsidRPr="004B7896">
        <w:rPr>
          <w:sz w:val="28"/>
          <w:szCs w:val="28"/>
        </w:rPr>
        <w:t>.</w:t>
      </w:r>
    </w:p>
    <w:p w:rsidR="00F5169B" w:rsidRPr="004B7896" w:rsidRDefault="007C1E41" w:rsidP="00831E61">
      <w:pPr>
        <w:pStyle w:val="3"/>
        <w:shd w:val="clear" w:color="auto" w:fill="auto"/>
        <w:spacing w:after="0" w:line="240" w:lineRule="auto"/>
        <w:ind w:left="57" w:right="60" w:firstLine="142"/>
        <w:jc w:val="both"/>
        <w:rPr>
          <w:sz w:val="28"/>
          <w:szCs w:val="28"/>
        </w:rPr>
      </w:pPr>
      <w:r w:rsidRPr="004B7896">
        <w:rPr>
          <w:sz w:val="28"/>
          <w:szCs w:val="28"/>
        </w:rPr>
        <w:t xml:space="preserve">     </w:t>
      </w:r>
      <w:r w:rsidR="004B7896" w:rsidRPr="004B7896">
        <w:rPr>
          <w:sz w:val="28"/>
          <w:szCs w:val="28"/>
          <w:lang w:val="uk-UA"/>
        </w:rPr>
        <w:t xml:space="preserve"> </w:t>
      </w:r>
      <w:r w:rsidRPr="004B7896">
        <w:rPr>
          <w:sz w:val="28"/>
          <w:szCs w:val="28"/>
        </w:rPr>
        <w:t xml:space="preserve"> </w:t>
      </w:r>
      <w:proofErr w:type="gramStart"/>
      <w:r w:rsidR="00F5169B" w:rsidRPr="004B7896">
        <w:rPr>
          <w:sz w:val="28"/>
          <w:szCs w:val="28"/>
        </w:rPr>
        <w:t>З</w:t>
      </w:r>
      <w:proofErr w:type="gramEnd"/>
      <w:r w:rsidR="00F5169B" w:rsidRPr="004B7896">
        <w:rPr>
          <w:sz w:val="28"/>
          <w:szCs w:val="28"/>
        </w:rPr>
        <w:t xml:space="preserve"> метою </w:t>
      </w:r>
      <w:proofErr w:type="spellStart"/>
      <w:r w:rsidR="00F5169B" w:rsidRPr="004B7896">
        <w:rPr>
          <w:sz w:val="28"/>
          <w:szCs w:val="28"/>
        </w:rPr>
        <w:t>забезпечення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більш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якісного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розгляду</w:t>
      </w:r>
      <w:proofErr w:type="spellEnd"/>
      <w:r w:rsidR="00F5169B" w:rsidRPr="004B7896">
        <w:rPr>
          <w:sz w:val="28"/>
          <w:szCs w:val="28"/>
        </w:rPr>
        <w:t xml:space="preserve"> справ в </w:t>
      </w:r>
      <w:proofErr w:type="spellStart"/>
      <w:r w:rsidR="00F5169B" w:rsidRPr="004B7896">
        <w:rPr>
          <w:sz w:val="28"/>
          <w:szCs w:val="28"/>
        </w:rPr>
        <w:t>суді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практикується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ознайомлення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суддів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зі</w:t>
      </w:r>
      <w:proofErr w:type="spellEnd"/>
      <w:r w:rsidR="00F5169B" w:rsidRPr="004B7896">
        <w:rPr>
          <w:sz w:val="28"/>
          <w:szCs w:val="28"/>
        </w:rPr>
        <w:t xml:space="preserve"> справами, </w:t>
      </w:r>
      <w:proofErr w:type="spellStart"/>
      <w:r w:rsidR="00F5169B" w:rsidRPr="004B7896">
        <w:rPr>
          <w:sz w:val="28"/>
          <w:szCs w:val="28"/>
        </w:rPr>
        <w:t>які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повернулися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після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апеляційного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чи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касаційного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розгляду</w:t>
      </w:r>
      <w:proofErr w:type="spellEnd"/>
      <w:r w:rsidR="00F5169B" w:rsidRPr="004B7896">
        <w:rPr>
          <w:sz w:val="28"/>
          <w:szCs w:val="28"/>
        </w:rPr>
        <w:t xml:space="preserve">, </w:t>
      </w:r>
      <w:proofErr w:type="spellStart"/>
      <w:r w:rsidR="00F5169B" w:rsidRPr="004B7896">
        <w:rPr>
          <w:sz w:val="28"/>
          <w:szCs w:val="28"/>
        </w:rPr>
        <w:t>обговорення</w:t>
      </w:r>
      <w:proofErr w:type="spellEnd"/>
      <w:r w:rsidR="00F5169B" w:rsidRPr="004B7896">
        <w:rPr>
          <w:sz w:val="28"/>
          <w:szCs w:val="28"/>
        </w:rPr>
        <w:t xml:space="preserve"> причин </w:t>
      </w:r>
      <w:proofErr w:type="spellStart"/>
      <w:r w:rsidR="00F5169B" w:rsidRPr="004B7896">
        <w:rPr>
          <w:sz w:val="28"/>
          <w:szCs w:val="28"/>
        </w:rPr>
        <w:t>скасування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чи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змінення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судових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рішень</w:t>
      </w:r>
      <w:proofErr w:type="spellEnd"/>
      <w:r w:rsidR="00F5169B" w:rsidRPr="004B7896">
        <w:rPr>
          <w:sz w:val="28"/>
          <w:szCs w:val="28"/>
        </w:rPr>
        <w:t xml:space="preserve"> на </w:t>
      </w:r>
      <w:proofErr w:type="spellStart"/>
      <w:r w:rsidR="00F5169B" w:rsidRPr="004B7896">
        <w:rPr>
          <w:sz w:val="28"/>
          <w:szCs w:val="28"/>
        </w:rPr>
        <w:t>оперативних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нарадах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суддів</w:t>
      </w:r>
      <w:proofErr w:type="spellEnd"/>
      <w:r w:rsidR="00F5169B" w:rsidRPr="004B7896">
        <w:rPr>
          <w:sz w:val="28"/>
          <w:szCs w:val="28"/>
        </w:rPr>
        <w:t xml:space="preserve">, </w:t>
      </w:r>
      <w:proofErr w:type="spellStart"/>
      <w:r w:rsidR="00F5169B" w:rsidRPr="004B7896">
        <w:rPr>
          <w:sz w:val="28"/>
          <w:szCs w:val="28"/>
        </w:rPr>
        <w:t>вивчення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узагальнень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судової</w:t>
      </w:r>
      <w:proofErr w:type="spellEnd"/>
      <w:r w:rsidR="00F5169B" w:rsidRPr="004B7896">
        <w:rPr>
          <w:sz w:val="28"/>
          <w:szCs w:val="28"/>
        </w:rPr>
        <w:t xml:space="preserve"> практики </w:t>
      </w:r>
      <w:proofErr w:type="spellStart"/>
      <w:r w:rsidR="00F5169B" w:rsidRPr="004B7896">
        <w:rPr>
          <w:sz w:val="28"/>
          <w:szCs w:val="28"/>
        </w:rPr>
        <w:t>щодо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скасованих</w:t>
      </w:r>
      <w:proofErr w:type="spellEnd"/>
      <w:r w:rsidR="00F5169B" w:rsidRPr="004B7896">
        <w:rPr>
          <w:sz w:val="28"/>
          <w:szCs w:val="28"/>
        </w:rPr>
        <w:t xml:space="preserve"> та </w:t>
      </w:r>
      <w:proofErr w:type="spellStart"/>
      <w:r w:rsidR="00F5169B" w:rsidRPr="004B7896">
        <w:rPr>
          <w:sz w:val="28"/>
          <w:szCs w:val="28"/>
        </w:rPr>
        <w:t>змінених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судових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рішень</w:t>
      </w:r>
      <w:proofErr w:type="spellEnd"/>
      <w:r w:rsidR="00F5169B" w:rsidRPr="004B7896">
        <w:rPr>
          <w:sz w:val="28"/>
          <w:szCs w:val="28"/>
        </w:rPr>
        <w:t>.</w:t>
      </w:r>
    </w:p>
    <w:p w:rsidR="00F30634" w:rsidRPr="004B7896" w:rsidRDefault="007C1E41" w:rsidP="00831E61">
      <w:pPr>
        <w:pStyle w:val="3"/>
        <w:shd w:val="clear" w:color="auto" w:fill="auto"/>
        <w:spacing w:after="0" w:line="240" w:lineRule="auto"/>
        <w:ind w:left="57" w:right="60" w:firstLine="142"/>
        <w:jc w:val="both"/>
        <w:rPr>
          <w:sz w:val="28"/>
          <w:szCs w:val="28"/>
          <w:lang w:val="uk-UA" w:eastAsia="uk-UA"/>
        </w:rPr>
      </w:pPr>
      <w:r w:rsidRPr="004B7896">
        <w:rPr>
          <w:sz w:val="28"/>
          <w:szCs w:val="28"/>
        </w:rPr>
        <w:t xml:space="preserve">      </w:t>
      </w:r>
      <w:proofErr w:type="spellStart"/>
      <w:r w:rsidR="00F5169B" w:rsidRPr="004B7896">
        <w:rPr>
          <w:sz w:val="28"/>
          <w:szCs w:val="28"/>
        </w:rPr>
        <w:t>Всі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апеляційні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скарги</w:t>
      </w:r>
      <w:proofErr w:type="spellEnd"/>
      <w:r w:rsidR="00F5169B" w:rsidRPr="004B7896">
        <w:rPr>
          <w:sz w:val="28"/>
          <w:szCs w:val="28"/>
        </w:rPr>
        <w:t xml:space="preserve">, </w:t>
      </w:r>
      <w:proofErr w:type="spellStart"/>
      <w:r w:rsidR="00F5169B" w:rsidRPr="004B7896">
        <w:rPr>
          <w:sz w:val="28"/>
          <w:szCs w:val="28"/>
        </w:rPr>
        <w:t>які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надійшли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gramStart"/>
      <w:r w:rsidR="00F5169B" w:rsidRPr="004B7896">
        <w:rPr>
          <w:sz w:val="28"/>
          <w:szCs w:val="28"/>
        </w:rPr>
        <w:t>до</w:t>
      </w:r>
      <w:proofErr w:type="gramEnd"/>
      <w:r w:rsidR="00F5169B" w:rsidRPr="004B7896">
        <w:rPr>
          <w:sz w:val="28"/>
          <w:szCs w:val="28"/>
        </w:rPr>
        <w:t xml:space="preserve"> суду </w:t>
      </w:r>
      <w:r w:rsidR="00055970" w:rsidRPr="004B7896">
        <w:rPr>
          <w:sz w:val="28"/>
          <w:szCs w:val="28"/>
          <w:lang w:val="uk-UA"/>
        </w:rPr>
        <w:t>протягом</w:t>
      </w:r>
      <w:r w:rsidR="00F5169B" w:rsidRPr="004B7896">
        <w:rPr>
          <w:sz w:val="28"/>
          <w:szCs w:val="28"/>
        </w:rPr>
        <w:t xml:space="preserve"> 201</w:t>
      </w:r>
      <w:r w:rsidRPr="004B7896">
        <w:rPr>
          <w:sz w:val="28"/>
          <w:szCs w:val="28"/>
        </w:rPr>
        <w:t>7</w:t>
      </w:r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ро</w:t>
      </w:r>
      <w:r w:rsidR="00C152A3" w:rsidRPr="004B7896">
        <w:rPr>
          <w:sz w:val="28"/>
          <w:szCs w:val="28"/>
          <w:lang w:val="uk-UA"/>
        </w:rPr>
        <w:t>ку</w:t>
      </w:r>
      <w:proofErr w:type="spellEnd"/>
      <w:r w:rsidR="00C152A3" w:rsidRPr="004B7896">
        <w:rPr>
          <w:sz w:val="28"/>
          <w:szCs w:val="28"/>
          <w:lang w:val="uk-UA"/>
        </w:rPr>
        <w:t xml:space="preserve"> </w:t>
      </w:r>
      <w:r w:rsidR="00F5169B" w:rsidRPr="004B7896">
        <w:rPr>
          <w:sz w:val="28"/>
          <w:szCs w:val="28"/>
        </w:rPr>
        <w:t xml:space="preserve"> разом </w:t>
      </w:r>
      <w:proofErr w:type="spellStart"/>
      <w:r w:rsidR="00F5169B" w:rsidRPr="004B7896">
        <w:rPr>
          <w:sz w:val="28"/>
          <w:szCs w:val="28"/>
        </w:rPr>
        <w:t>зі</w:t>
      </w:r>
      <w:proofErr w:type="spellEnd"/>
      <w:r w:rsidR="00F5169B" w:rsidRPr="004B7896">
        <w:rPr>
          <w:sz w:val="28"/>
          <w:szCs w:val="28"/>
        </w:rPr>
        <w:t xml:space="preserve"> справами </w:t>
      </w:r>
      <w:proofErr w:type="spellStart"/>
      <w:r w:rsidR="00F5169B" w:rsidRPr="004B7896">
        <w:rPr>
          <w:sz w:val="28"/>
          <w:szCs w:val="28"/>
        </w:rPr>
        <w:t>направлені</w:t>
      </w:r>
      <w:proofErr w:type="spellEnd"/>
      <w:r w:rsidR="00F5169B" w:rsidRPr="004B7896">
        <w:rPr>
          <w:sz w:val="28"/>
          <w:szCs w:val="28"/>
        </w:rPr>
        <w:t xml:space="preserve"> до </w:t>
      </w:r>
      <w:proofErr w:type="spellStart"/>
      <w:r w:rsidR="00F5169B" w:rsidRPr="004B7896">
        <w:rPr>
          <w:sz w:val="28"/>
          <w:szCs w:val="28"/>
        </w:rPr>
        <w:t>судів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апеляційної</w:t>
      </w:r>
      <w:proofErr w:type="spellEnd"/>
      <w:r w:rsidR="00F5169B" w:rsidRPr="004B7896">
        <w:rPr>
          <w:sz w:val="28"/>
          <w:szCs w:val="28"/>
        </w:rPr>
        <w:t xml:space="preserve"> </w:t>
      </w:r>
      <w:proofErr w:type="spellStart"/>
      <w:r w:rsidR="00F5169B" w:rsidRPr="004B7896">
        <w:rPr>
          <w:sz w:val="28"/>
          <w:szCs w:val="28"/>
        </w:rPr>
        <w:t>інстанції</w:t>
      </w:r>
      <w:proofErr w:type="spellEnd"/>
      <w:r w:rsidR="00F5169B" w:rsidRPr="004B7896">
        <w:rPr>
          <w:sz w:val="28"/>
          <w:szCs w:val="28"/>
        </w:rPr>
        <w:t>.</w:t>
      </w:r>
    </w:p>
    <w:p w:rsidR="0088723C" w:rsidRPr="004B7896" w:rsidRDefault="007C1E41" w:rsidP="00831E61">
      <w:pPr>
        <w:spacing w:after="0" w:line="240" w:lineRule="auto"/>
        <w:ind w:left="57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896">
        <w:rPr>
          <w:rFonts w:ascii="Times New Roman" w:hAnsi="Times New Roman" w:cs="Times New Roman"/>
          <w:sz w:val="28"/>
          <w:szCs w:val="28"/>
        </w:rPr>
        <w:t xml:space="preserve">      </w:t>
      </w:r>
      <w:r w:rsidR="00923F8B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128 Конституції України однією з основних засад судочинства є гласність судового процесу та його повне </w:t>
      </w:r>
      <w:proofErr w:type="spellStart"/>
      <w:r w:rsidR="00923F8B" w:rsidRPr="004B7896">
        <w:rPr>
          <w:rFonts w:ascii="Times New Roman" w:hAnsi="Times New Roman" w:cs="Times New Roman"/>
          <w:sz w:val="28"/>
          <w:szCs w:val="28"/>
        </w:rPr>
        <w:t>фік</w:t>
      </w:r>
      <w:r w:rsidR="00923F8B" w:rsidRPr="004B7896">
        <w:rPr>
          <w:rFonts w:ascii="Times New Roman" w:hAnsi="Times New Roman" w:cs="Times New Roman"/>
          <w:sz w:val="28"/>
          <w:szCs w:val="28"/>
          <w:lang w:val="uk-UA"/>
        </w:rPr>
        <w:t>сування</w:t>
      </w:r>
      <w:proofErr w:type="spellEnd"/>
      <w:r w:rsidR="00923F8B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технічними засобами. </w:t>
      </w:r>
      <w:r w:rsidR="00203BD6" w:rsidRPr="004B7896">
        <w:rPr>
          <w:rFonts w:ascii="Times New Roman" w:hAnsi="Times New Roman" w:cs="Times New Roman"/>
          <w:sz w:val="28"/>
          <w:szCs w:val="28"/>
          <w:lang w:val="uk-UA"/>
        </w:rPr>
        <w:t>За звітний період</w:t>
      </w:r>
      <w:r w:rsidR="00AA1538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судом розглянуто</w:t>
      </w:r>
      <w:r w:rsidRPr="004B7896">
        <w:rPr>
          <w:rFonts w:ascii="Times New Roman" w:hAnsi="Times New Roman" w:cs="Times New Roman"/>
          <w:sz w:val="28"/>
          <w:szCs w:val="28"/>
        </w:rPr>
        <w:t xml:space="preserve"> 963</w:t>
      </w:r>
      <w:r w:rsidR="00923F8B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справ  з фіксуванням судового процесу технічними засобами</w:t>
      </w:r>
      <w:r w:rsidR="00203BD6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4B7896">
        <w:rPr>
          <w:rFonts w:ascii="Times New Roman" w:hAnsi="Times New Roman" w:cs="Times New Roman"/>
          <w:sz w:val="28"/>
          <w:szCs w:val="28"/>
        </w:rPr>
        <w:t>29</w:t>
      </w:r>
      <w:r w:rsidRPr="004B7896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="00923F8B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% від загальної  кількості закінчених провадженням справ</w:t>
      </w:r>
      <w:r w:rsidR="00203BD6" w:rsidRPr="004B78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03BD6" w:rsidRPr="004B7896">
        <w:rPr>
          <w:rFonts w:ascii="Times New Roman" w:hAnsi="Times New Roman" w:cs="Times New Roman"/>
          <w:sz w:val="28"/>
          <w:szCs w:val="28"/>
        </w:rPr>
        <w:t xml:space="preserve">, </w:t>
      </w:r>
      <w:r w:rsidRPr="004B7896">
        <w:rPr>
          <w:rFonts w:ascii="Times New Roman" w:hAnsi="Times New Roman" w:cs="Times New Roman"/>
          <w:sz w:val="28"/>
          <w:szCs w:val="28"/>
          <w:lang w:val="uk-UA"/>
        </w:rPr>
        <w:t>1799</w:t>
      </w:r>
      <w:r w:rsidR="00AA1538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справ </w:t>
      </w:r>
      <w:r w:rsidR="00203BD6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A1538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у порядку письмового провадження та  </w:t>
      </w:r>
      <w:r w:rsidRPr="004B7896">
        <w:rPr>
          <w:rFonts w:ascii="Times New Roman" w:hAnsi="Times New Roman" w:cs="Times New Roman"/>
          <w:sz w:val="28"/>
          <w:szCs w:val="28"/>
          <w:lang w:val="uk-UA"/>
        </w:rPr>
        <w:t>446</w:t>
      </w:r>
      <w:r w:rsidR="000C1DB5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538" w:rsidRPr="004B7896">
        <w:rPr>
          <w:rFonts w:ascii="Times New Roman" w:hAnsi="Times New Roman" w:cs="Times New Roman"/>
          <w:sz w:val="28"/>
          <w:szCs w:val="28"/>
          <w:lang w:val="uk-UA"/>
        </w:rPr>
        <w:t>- у скороченому провадженні.</w:t>
      </w:r>
    </w:p>
    <w:p w:rsidR="00B07C0F" w:rsidRPr="004B7896" w:rsidRDefault="0005433B" w:rsidP="00831E61">
      <w:pPr>
        <w:spacing w:after="0" w:line="240" w:lineRule="auto"/>
        <w:ind w:left="5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41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Проведений аналіз статистичних даних свідчить про </w:t>
      </w:r>
      <w:r w:rsidR="007C1E41" w:rsidRPr="004B7896">
        <w:rPr>
          <w:rFonts w:ascii="Times New Roman" w:hAnsi="Times New Roman" w:cs="Times New Roman"/>
          <w:sz w:val="28"/>
          <w:szCs w:val="28"/>
          <w:lang w:val="uk-UA"/>
        </w:rPr>
        <w:t>збільше</w:t>
      </w:r>
      <w:r w:rsidRPr="004B7896">
        <w:rPr>
          <w:rFonts w:ascii="Times New Roman" w:hAnsi="Times New Roman" w:cs="Times New Roman"/>
          <w:sz w:val="28"/>
          <w:szCs w:val="28"/>
          <w:lang w:val="uk-UA"/>
        </w:rPr>
        <w:t>ння надходження адміністративних  позовів до суду.</w:t>
      </w:r>
    </w:p>
    <w:p w:rsidR="00540020" w:rsidRPr="004B7896" w:rsidRDefault="007C1E41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40020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Для поліпшення стану здійснення судочинства, прискорення розгляду справ і матеріалів необхідно </w:t>
      </w:r>
      <w:r w:rsidR="00540020" w:rsidRPr="004B7896">
        <w:rPr>
          <w:rFonts w:ascii="Times New Roman" w:hAnsi="Times New Roman" w:cs="Times New Roman"/>
          <w:bCs/>
          <w:sz w:val="28"/>
          <w:szCs w:val="28"/>
          <w:lang w:val="uk-UA"/>
        </w:rPr>
        <w:t>врегулювати питання щодо призначення суддів у яких закінчився термін повноваження, а також</w:t>
      </w:r>
      <w:r w:rsidR="00540020" w:rsidRPr="004B789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суд в достатній кількості комп’ютерною технікою, облаштувати зали судових засідань засобами </w:t>
      </w:r>
      <w:proofErr w:type="spellStart"/>
      <w:r w:rsidR="00540020" w:rsidRPr="004B7896">
        <w:rPr>
          <w:rFonts w:ascii="Times New Roman" w:hAnsi="Times New Roman" w:cs="Times New Roman"/>
          <w:sz w:val="28"/>
          <w:szCs w:val="28"/>
          <w:lang w:val="uk-UA"/>
        </w:rPr>
        <w:t>відеоконферен</w:t>
      </w:r>
      <w:r w:rsidR="00831E61" w:rsidRPr="004B7896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540020" w:rsidRPr="004B7896">
        <w:rPr>
          <w:rFonts w:ascii="Times New Roman" w:hAnsi="Times New Roman" w:cs="Times New Roman"/>
          <w:sz w:val="28"/>
          <w:szCs w:val="28"/>
          <w:lang w:val="uk-UA"/>
        </w:rPr>
        <w:t>звʹязку</w:t>
      </w:r>
      <w:proofErr w:type="spellEnd"/>
      <w:r w:rsidR="00540020" w:rsidRPr="004B78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1E61" w:rsidRPr="004B7896" w:rsidRDefault="00831E61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E61" w:rsidRDefault="00831E61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E61" w:rsidRPr="00540020" w:rsidRDefault="00831E61" w:rsidP="00831E61">
      <w:pPr>
        <w:spacing w:line="240" w:lineRule="auto"/>
        <w:ind w:lef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56B" w:rsidRPr="00071143" w:rsidRDefault="00640E60" w:rsidP="00831E61">
      <w:pPr>
        <w:pStyle w:val="a3"/>
        <w:shd w:val="clear" w:color="auto" w:fill="auto"/>
        <w:tabs>
          <w:tab w:val="left" w:pos="4658"/>
          <w:tab w:val="left" w:pos="6741"/>
        </w:tabs>
        <w:spacing w:line="240" w:lineRule="auto"/>
        <w:ind w:left="57" w:hanging="57"/>
        <w:rPr>
          <w:sz w:val="28"/>
          <w:szCs w:val="28"/>
        </w:rPr>
      </w:pPr>
      <w:r w:rsidRPr="00077821">
        <w:rPr>
          <w:sz w:val="28"/>
          <w:szCs w:val="28"/>
          <w:lang w:eastAsia="uk-UA"/>
        </w:rPr>
        <w:t xml:space="preserve">     </w:t>
      </w:r>
      <w:r w:rsidR="0065756B" w:rsidRPr="00071143">
        <w:rPr>
          <w:sz w:val="28"/>
          <w:szCs w:val="28"/>
          <w:lang w:eastAsia="uk-UA"/>
        </w:rPr>
        <w:t>Голова суду</w:t>
      </w:r>
      <w:r w:rsidR="003F7A41">
        <w:rPr>
          <w:sz w:val="28"/>
          <w:szCs w:val="28"/>
          <w:lang w:eastAsia="uk-UA"/>
        </w:rPr>
        <w:t xml:space="preserve">                                                                                     </w:t>
      </w:r>
      <w:r w:rsidR="0065756B" w:rsidRPr="00071143">
        <w:rPr>
          <w:sz w:val="28"/>
          <w:szCs w:val="28"/>
          <w:lang w:eastAsia="uk-UA"/>
        </w:rPr>
        <w:t>С.В.</w:t>
      </w:r>
      <w:proofErr w:type="spellStart"/>
      <w:r w:rsidR="0065756B" w:rsidRPr="00071143">
        <w:rPr>
          <w:sz w:val="28"/>
          <w:szCs w:val="28"/>
          <w:lang w:eastAsia="uk-UA"/>
        </w:rPr>
        <w:t>Черноліхов</w:t>
      </w:r>
      <w:proofErr w:type="spellEnd"/>
    </w:p>
    <w:sectPr w:rsidR="0065756B" w:rsidRPr="00071143" w:rsidSect="00831E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B0" w:rsidRDefault="00046DB0" w:rsidP="0088723C">
      <w:pPr>
        <w:spacing w:after="0" w:line="240" w:lineRule="auto"/>
      </w:pPr>
      <w:r>
        <w:separator/>
      </w:r>
    </w:p>
  </w:endnote>
  <w:endnote w:type="continuationSeparator" w:id="0">
    <w:p w:rsidR="00046DB0" w:rsidRDefault="00046DB0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B0" w:rsidRDefault="00046DB0" w:rsidP="0088723C">
      <w:pPr>
        <w:spacing w:after="0" w:line="240" w:lineRule="auto"/>
      </w:pPr>
      <w:r>
        <w:separator/>
      </w:r>
    </w:p>
  </w:footnote>
  <w:footnote w:type="continuationSeparator" w:id="0">
    <w:p w:rsidR="00046DB0" w:rsidRDefault="00046DB0" w:rsidP="008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756B"/>
    <w:rsid w:val="000117BA"/>
    <w:rsid w:val="00012C15"/>
    <w:rsid w:val="00017379"/>
    <w:rsid w:val="00020768"/>
    <w:rsid w:val="00022388"/>
    <w:rsid w:val="00024FB4"/>
    <w:rsid w:val="00037A39"/>
    <w:rsid w:val="00041C83"/>
    <w:rsid w:val="00045643"/>
    <w:rsid w:val="00046DB0"/>
    <w:rsid w:val="0005106D"/>
    <w:rsid w:val="000539A0"/>
    <w:rsid w:val="0005433B"/>
    <w:rsid w:val="00055970"/>
    <w:rsid w:val="00060CF1"/>
    <w:rsid w:val="00065A02"/>
    <w:rsid w:val="00071143"/>
    <w:rsid w:val="00077821"/>
    <w:rsid w:val="00081F0F"/>
    <w:rsid w:val="00085071"/>
    <w:rsid w:val="00087850"/>
    <w:rsid w:val="0009360D"/>
    <w:rsid w:val="00094C8D"/>
    <w:rsid w:val="00095207"/>
    <w:rsid w:val="000A1B67"/>
    <w:rsid w:val="000A4E4D"/>
    <w:rsid w:val="000B0DBD"/>
    <w:rsid w:val="000B4F22"/>
    <w:rsid w:val="000B50BA"/>
    <w:rsid w:val="000B5B08"/>
    <w:rsid w:val="000C1DB5"/>
    <w:rsid w:val="000C7CA6"/>
    <w:rsid w:val="000D49F5"/>
    <w:rsid w:val="000D4E8D"/>
    <w:rsid w:val="000E3A1F"/>
    <w:rsid w:val="000E6563"/>
    <w:rsid w:val="000F1EFA"/>
    <w:rsid w:val="0010072B"/>
    <w:rsid w:val="00100BFD"/>
    <w:rsid w:val="00102BF0"/>
    <w:rsid w:val="00106D7E"/>
    <w:rsid w:val="00120CE5"/>
    <w:rsid w:val="00126C17"/>
    <w:rsid w:val="001404C2"/>
    <w:rsid w:val="0014380D"/>
    <w:rsid w:val="0014431F"/>
    <w:rsid w:val="0014640F"/>
    <w:rsid w:val="001504B3"/>
    <w:rsid w:val="0015309F"/>
    <w:rsid w:val="0015458A"/>
    <w:rsid w:val="00170B95"/>
    <w:rsid w:val="001712D3"/>
    <w:rsid w:val="00180570"/>
    <w:rsid w:val="001860BE"/>
    <w:rsid w:val="0018733C"/>
    <w:rsid w:val="00194615"/>
    <w:rsid w:val="001946FA"/>
    <w:rsid w:val="001A11E8"/>
    <w:rsid w:val="001B0F4D"/>
    <w:rsid w:val="001B4274"/>
    <w:rsid w:val="001B51A4"/>
    <w:rsid w:val="001C0A66"/>
    <w:rsid w:val="001C4891"/>
    <w:rsid w:val="001C6806"/>
    <w:rsid w:val="001D652A"/>
    <w:rsid w:val="001D6BAC"/>
    <w:rsid w:val="001E3B2D"/>
    <w:rsid w:val="001F4B8B"/>
    <w:rsid w:val="00200469"/>
    <w:rsid w:val="00203BD6"/>
    <w:rsid w:val="00205A13"/>
    <w:rsid w:val="0021177F"/>
    <w:rsid w:val="00211E89"/>
    <w:rsid w:val="002126A4"/>
    <w:rsid w:val="00214EA2"/>
    <w:rsid w:val="002239F4"/>
    <w:rsid w:val="00240849"/>
    <w:rsid w:val="00245285"/>
    <w:rsid w:val="002611E3"/>
    <w:rsid w:val="00265F2A"/>
    <w:rsid w:val="002674F2"/>
    <w:rsid w:val="00271185"/>
    <w:rsid w:val="00283F61"/>
    <w:rsid w:val="00287404"/>
    <w:rsid w:val="00290117"/>
    <w:rsid w:val="002920F8"/>
    <w:rsid w:val="002A0FE7"/>
    <w:rsid w:val="002A1534"/>
    <w:rsid w:val="002A3762"/>
    <w:rsid w:val="002A4A4E"/>
    <w:rsid w:val="002A4C92"/>
    <w:rsid w:val="002A4F99"/>
    <w:rsid w:val="002A6FEE"/>
    <w:rsid w:val="002B14A1"/>
    <w:rsid w:val="002B1723"/>
    <w:rsid w:val="002C6BAB"/>
    <w:rsid w:val="002D35D5"/>
    <w:rsid w:val="002D3F82"/>
    <w:rsid w:val="002E16FE"/>
    <w:rsid w:val="002E5284"/>
    <w:rsid w:val="002F60A4"/>
    <w:rsid w:val="002F70E6"/>
    <w:rsid w:val="002F78AB"/>
    <w:rsid w:val="003072D4"/>
    <w:rsid w:val="003173A5"/>
    <w:rsid w:val="00321271"/>
    <w:rsid w:val="0032310D"/>
    <w:rsid w:val="00332D22"/>
    <w:rsid w:val="00335663"/>
    <w:rsid w:val="0033644A"/>
    <w:rsid w:val="0034440C"/>
    <w:rsid w:val="003518D4"/>
    <w:rsid w:val="00354901"/>
    <w:rsid w:val="00356BB1"/>
    <w:rsid w:val="003573E0"/>
    <w:rsid w:val="00367357"/>
    <w:rsid w:val="00372297"/>
    <w:rsid w:val="00374972"/>
    <w:rsid w:val="00374A9C"/>
    <w:rsid w:val="0038535E"/>
    <w:rsid w:val="00386ECF"/>
    <w:rsid w:val="0039217A"/>
    <w:rsid w:val="003929B0"/>
    <w:rsid w:val="00396EBB"/>
    <w:rsid w:val="003A0874"/>
    <w:rsid w:val="003A3D03"/>
    <w:rsid w:val="003B1BC8"/>
    <w:rsid w:val="003C019D"/>
    <w:rsid w:val="003C0E58"/>
    <w:rsid w:val="003C21EE"/>
    <w:rsid w:val="003C6E95"/>
    <w:rsid w:val="003D5DF1"/>
    <w:rsid w:val="003E357C"/>
    <w:rsid w:val="003E6139"/>
    <w:rsid w:val="003F0812"/>
    <w:rsid w:val="003F7A41"/>
    <w:rsid w:val="004002FA"/>
    <w:rsid w:val="00401A7D"/>
    <w:rsid w:val="00405FA6"/>
    <w:rsid w:val="00411271"/>
    <w:rsid w:val="00426A40"/>
    <w:rsid w:val="00432D9E"/>
    <w:rsid w:val="00434994"/>
    <w:rsid w:val="00441B8B"/>
    <w:rsid w:val="00456E0F"/>
    <w:rsid w:val="00462E92"/>
    <w:rsid w:val="00463B2D"/>
    <w:rsid w:val="0047519B"/>
    <w:rsid w:val="00475816"/>
    <w:rsid w:val="0047666E"/>
    <w:rsid w:val="0048095B"/>
    <w:rsid w:val="004842BD"/>
    <w:rsid w:val="0048527F"/>
    <w:rsid w:val="00485B51"/>
    <w:rsid w:val="0048681A"/>
    <w:rsid w:val="00491B9F"/>
    <w:rsid w:val="004938D9"/>
    <w:rsid w:val="004A0484"/>
    <w:rsid w:val="004B4014"/>
    <w:rsid w:val="004B7896"/>
    <w:rsid w:val="004C03F2"/>
    <w:rsid w:val="004C2361"/>
    <w:rsid w:val="004C38F3"/>
    <w:rsid w:val="004C45BE"/>
    <w:rsid w:val="004C6ED8"/>
    <w:rsid w:val="004D13C0"/>
    <w:rsid w:val="004E01BC"/>
    <w:rsid w:val="004E319F"/>
    <w:rsid w:val="004E338C"/>
    <w:rsid w:val="004E3A42"/>
    <w:rsid w:val="004F1796"/>
    <w:rsid w:val="004F3E99"/>
    <w:rsid w:val="004F72B0"/>
    <w:rsid w:val="00502AAE"/>
    <w:rsid w:val="00503734"/>
    <w:rsid w:val="0050393C"/>
    <w:rsid w:val="00510308"/>
    <w:rsid w:val="005137E5"/>
    <w:rsid w:val="00521F09"/>
    <w:rsid w:val="00526A68"/>
    <w:rsid w:val="00526C5F"/>
    <w:rsid w:val="00532CBB"/>
    <w:rsid w:val="0053519F"/>
    <w:rsid w:val="00537524"/>
    <w:rsid w:val="00537B20"/>
    <w:rsid w:val="00540020"/>
    <w:rsid w:val="00544402"/>
    <w:rsid w:val="0056307C"/>
    <w:rsid w:val="005642A8"/>
    <w:rsid w:val="00565240"/>
    <w:rsid w:val="00565D97"/>
    <w:rsid w:val="005703EF"/>
    <w:rsid w:val="00585C40"/>
    <w:rsid w:val="00587B86"/>
    <w:rsid w:val="005901A5"/>
    <w:rsid w:val="005921A6"/>
    <w:rsid w:val="005938FA"/>
    <w:rsid w:val="0059517A"/>
    <w:rsid w:val="005B3552"/>
    <w:rsid w:val="005C2AFE"/>
    <w:rsid w:val="005C3918"/>
    <w:rsid w:val="005C56F4"/>
    <w:rsid w:val="005D0D0E"/>
    <w:rsid w:val="005D35DB"/>
    <w:rsid w:val="005E4CC4"/>
    <w:rsid w:val="005E6F14"/>
    <w:rsid w:val="005F2335"/>
    <w:rsid w:val="005F62A0"/>
    <w:rsid w:val="0060234C"/>
    <w:rsid w:val="00613BFE"/>
    <w:rsid w:val="0062677E"/>
    <w:rsid w:val="00631F16"/>
    <w:rsid w:val="00633EB8"/>
    <w:rsid w:val="00636752"/>
    <w:rsid w:val="00640E60"/>
    <w:rsid w:val="00654C4F"/>
    <w:rsid w:val="0065756B"/>
    <w:rsid w:val="00661FBF"/>
    <w:rsid w:val="00663B03"/>
    <w:rsid w:val="006656B5"/>
    <w:rsid w:val="00670D70"/>
    <w:rsid w:val="00671B24"/>
    <w:rsid w:val="006774AF"/>
    <w:rsid w:val="00682023"/>
    <w:rsid w:val="00684631"/>
    <w:rsid w:val="00685CD6"/>
    <w:rsid w:val="0069142D"/>
    <w:rsid w:val="0069684E"/>
    <w:rsid w:val="006C05B2"/>
    <w:rsid w:val="006C5193"/>
    <w:rsid w:val="006D3E76"/>
    <w:rsid w:val="006E79DE"/>
    <w:rsid w:val="006F35AA"/>
    <w:rsid w:val="006F3B21"/>
    <w:rsid w:val="00701EB6"/>
    <w:rsid w:val="00704122"/>
    <w:rsid w:val="00704C90"/>
    <w:rsid w:val="007117AF"/>
    <w:rsid w:val="0071451A"/>
    <w:rsid w:val="007157BC"/>
    <w:rsid w:val="00715F70"/>
    <w:rsid w:val="00721BE0"/>
    <w:rsid w:val="00723EF3"/>
    <w:rsid w:val="00725B4E"/>
    <w:rsid w:val="00730A5C"/>
    <w:rsid w:val="00731355"/>
    <w:rsid w:val="00735467"/>
    <w:rsid w:val="007366B4"/>
    <w:rsid w:val="00741A40"/>
    <w:rsid w:val="0076435B"/>
    <w:rsid w:val="00765D6C"/>
    <w:rsid w:val="007702BF"/>
    <w:rsid w:val="007734CF"/>
    <w:rsid w:val="00774850"/>
    <w:rsid w:val="0077543D"/>
    <w:rsid w:val="0077612C"/>
    <w:rsid w:val="00776F84"/>
    <w:rsid w:val="007812E7"/>
    <w:rsid w:val="0078452C"/>
    <w:rsid w:val="0078463C"/>
    <w:rsid w:val="007852FD"/>
    <w:rsid w:val="00794ADD"/>
    <w:rsid w:val="007A19C9"/>
    <w:rsid w:val="007A33C8"/>
    <w:rsid w:val="007A3B19"/>
    <w:rsid w:val="007B0E9B"/>
    <w:rsid w:val="007B36E7"/>
    <w:rsid w:val="007B4009"/>
    <w:rsid w:val="007B47AD"/>
    <w:rsid w:val="007C1E41"/>
    <w:rsid w:val="007C1FB6"/>
    <w:rsid w:val="007C385D"/>
    <w:rsid w:val="007C4A84"/>
    <w:rsid w:val="007C6829"/>
    <w:rsid w:val="007D1054"/>
    <w:rsid w:val="007D1302"/>
    <w:rsid w:val="007D4704"/>
    <w:rsid w:val="007E42A9"/>
    <w:rsid w:val="00811D9A"/>
    <w:rsid w:val="008205F9"/>
    <w:rsid w:val="0082387F"/>
    <w:rsid w:val="008261A2"/>
    <w:rsid w:val="00831E61"/>
    <w:rsid w:val="0083561B"/>
    <w:rsid w:val="00846168"/>
    <w:rsid w:val="008649D5"/>
    <w:rsid w:val="00880001"/>
    <w:rsid w:val="00882998"/>
    <w:rsid w:val="0088723C"/>
    <w:rsid w:val="008876A0"/>
    <w:rsid w:val="008902C3"/>
    <w:rsid w:val="00897FCA"/>
    <w:rsid w:val="008A0AD2"/>
    <w:rsid w:val="008B3162"/>
    <w:rsid w:val="008D1DDF"/>
    <w:rsid w:val="008D1FEF"/>
    <w:rsid w:val="008D3B20"/>
    <w:rsid w:val="008D4887"/>
    <w:rsid w:val="008D78E3"/>
    <w:rsid w:val="008D7A7B"/>
    <w:rsid w:val="008E78B6"/>
    <w:rsid w:val="008F0CDB"/>
    <w:rsid w:val="008F2A4B"/>
    <w:rsid w:val="0090380C"/>
    <w:rsid w:val="0090573E"/>
    <w:rsid w:val="009135FF"/>
    <w:rsid w:val="00922C1F"/>
    <w:rsid w:val="00923F8B"/>
    <w:rsid w:val="00924795"/>
    <w:rsid w:val="009322CB"/>
    <w:rsid w:val="0094462E"/>
    <w:rsid w:val="009524F9"/>
    <w:rsid w:val="00955095"/>
    <w:rsid w:val="0096138F"/>
    <w:rsid w:val="00970635"/>
    <w:rsid w:val="00987840"/>
    <w:rsid w:val="00990811"/>
    <w:rsid w:val="00993F48"/>
    <w:rsid w:val="00994897"/>
    <w:rsid w:val="009A255B"/>
    <w:rsid w:val="009A2E85"/>
    <w:rsid w:val="009A4477"/>
    <w:rsid w:val="009C03F6"/>
    <w:rsid w:val="009C099A"/>
    <w:rsid w:val="009C36C6"/>
    <w:rsid w:val="009D1534"/>
    <w:rsid w:val="009E4A09"/>
    <w:rsid w:val="009F1AB4"/>
    <w:rsid w:val="009F2955"/>
    <w:rsid w:val="00A00E00"/>
    <w:rsid w:val="00A060CF"/>
    <w:rsid w:val="00A12073"/>
    <w:rsid w:val="00A27AD1"/>
    <w:rsid w:val="00A4664B"/>
    <w:rsid w:val="00A617A1"/>
    <w:rsid w:val="00A6687D"/>
    <w:rsid w:val="00A722B9"/>
    <w:rsid w:val="00A768D4"/>
    <w:rsid w:val="00A81DDA"/>
    <w:rsid w:val="00A824A8"/>
    <w:rsid w:val="00A83503"/>
    <w:rsid w:val="00A8400C"/>
    <w:rsid w:val="00A8688A"/>
    <w:rsid w:val="00A928B1"/>
    <w:rsid w:val="00AA1538"/>
    <w:rsid w:val="00AA288C"/>
    <w:rsid w:val="00AA3017"/>
    <w:rsid w:val="00AA710F"/>
    <w:rsid w:val="00AB4CBE"/>
    <w:rsid w:val="00AC1B0D"/>
    <w:rsid w:val="00AC23EA"/>
    <w:rsid w:val="00AC509E"/>
    <w:rsid w:val="00AD099F"/>
    <w:rsid w:val="00AD2CBB"/>
    <w:rsid w:val="00AD3457"/>
    <w:rsid w:val="00AE4C53"/>
    <w:rsid w:val="00AF360D"/>
    <w:rsid w:val="00B00DA8"/>
    <w:rsid w:val="00B048CF"/>
    <w:rsid w:val="00B07C0F"/>
    <w:rsid w:val="00B11B41"/>
    <w:rsid w:val="00B17502"/>
    <w:rsid w:val="00B219A2"/>
    <w:rsid w:val="00B24789"/>
    <w:rsid w:val="00B254F7"/>
    <w:rsid w:val="00B301D6"/>
    <w:rsid w:val="00B31AEA"/>
    <w:rsid w:val="00B337F4"/>
    <w:rsid w:val="00B4592D"/>
    <w:rsid w:val="00B459CD"/>
    <w:rsid w:val="00B469A7"/>
    <w:rsid w:val="00B54C14"/>
    <w:rsid w:val="00B61CF5"/>
    <w:rsid w:val="00B70103"/>
    <w:rsid w:val="00B715F9"/>
    <w:rsid w:val="00B7175E"/>
    <w:rsid w:val="00B7281B"/>
    <w:rsid w:val="00B72E29"/>
    <w:rsid w:val="00B75852"/>
    <w:rsid w:val="00B76205"/>
    <w:rsid w:val="00B95715"/>
    <w:rsid w:val="00B96EEA"/>
    <w:rsid w:val="00BA0327"/>
    <w:rsid w:val="00BA076F"/>
    <w:rsid w:val="00BA1A4D"/>
    <w:rsid w:val="00BA2D80"/>
    <w:rsid w:val="00BB2EA7"/>
    <w:rsid w:val="00BB3CF9"/>
    <w:rsid w:val="00BC2E56"/>
    <w:rsid w:val="00BC3602"/>
    <w:rsid w:val="00BD718D"/>
    <w:rsid w:val="00BE17CC"/>
    <w:rsid w:val="00BE1B27"/>
    <w:rsid w:val="00BE34FF"/>
    <w:rsid w:val="00BE37DA"/>
    <w:rsid w:val="00BE784A"/>
    <w:rsid w:val="00BF0A10"/>
    <w:rsid w:val="00BF3FC1"/>
    <w:rsid w:val="00C0259F"/>
    <w:rsid w:val="00C06F9D"/>
    <w:rsid w:val="00C152A3"/>
    <w:rsid w:val="00C152BF"/>
    <w:rsid w:val="00C16FE4"/>
    <w:rsid w:val="00C17EF2"/>
    <w:rsid w:val="00C2586D"/>
    <w:rsid w:val="00C30C81"/>
    <w:rsid w:val="00C354EB"/>
    <w:rsid w:val="00C36E41"/>
    <w:rsid w:val="00C37E20"/>
    <w:rsid w:val="00C40913"/>
    <w:rsid w:val="00C4374D"/>
    <w:rsid w:val="00C471EF"/>
    <w:rsid w:val="00C47DEC"/>
    <w:rsid w:val="00C511E3"/>
    <w:rsid w:val="00C614CB"/>
    <w:rsid w:val="00C61EF6"/>
    <w:rsid w:val="00C6576A"/>
    <w:rsid w:val="00C679C6"/>
    <w:rsid w:val="00C70882"/>
    <w:rsid w:val="00C762B4"/>
    <w:rsid w:val="00C810DD"/>
    <w:rsid w:val="00C821BB"/>
    <w:rsid w:val="00C82341"/>
    <w:rsid w:val="00C82D2F"/>
    <w:rsid w:val="00C87780"/>
    <w:rsid w:val="00C90A64"/>
    <w:rsid w:val="00CC1E79"/>
    <w:rsid w:val="00CC32E7"/>
    <w:rsid w:val="00CD291F"/>
    <w:rsid w:val="00CE57B3"/>
    <w:rsid w:val="00CE5B87"/>
    <w:rsid w:val="00CE7893"/>
    <w:rsid w:val="00CF07DF"/>
    <w:rsid w:val="00D00015"/>
    <w:rsid w:val="00D00E7E"/>
    <w:rsid w:val="00D02E87"/>
    <w:rsid w:val="00D03065"/>
    <w:rsid w:val="00D13859"/>
    <w:rsid w:val="00D319BB"/>
    <w:rsid w:val="00D345F4"/>
    <w:rsid w:val="00D408B6"/>
    <w:rsid w:val="00D421BB"/>
    <w:rsid w:val="00D446B3"/>
    <w:rsid w:val="00D455EF"/>
    <w:rsid w:val="00D52233"/>
    <w:rsid w:val="00D53DED"/>
    <w:rsid w:val="00D601F2"/>
    <w:rsid w:val="00D609D9"/>
    <w:rsid w:val="00D60B99"/>
    <w:rsid w:val="00D60CF8"/>
    <w:rsid w:val="00D67193"/>
    <w:rsid w:val="00D67758"/>
    <w:rsid w:val="00D70227"/>
    <w:rsid w:val="00D71984"/>
    <w:rsid w:val="00DA7F7E"/>
    <w:rsid w:val="00DB6965"/>
    <w:rsid w:val="00DB71EE"/>
    <w:rsid w:val="00DB7BFB"/>
    <w:rsid w:val="00DC087C"/>
    <w:rsid w:val="00DC2023"/>
    <w:rsid w:val="00DC203F"/>
    <w:rsid w:val="00DC27E9"/>
    <w:rsid w:val="00DC578B"/>
    <w:rsid w:val="00DD20C7"/>
    <w:rsid w:val="00DD30A6"/>
    <w:rsid w:val="00DD6759"/>
    <w:rsid w:val="00DD7A5D"/>
    <w:rsid w:val="00DF68BA"/>
    <w:rsid w:val="00E00CC0"/>
    <w:rsid w:val="00E018FF"/>
    <w:rsid w:val="00E051FB"/>
    <w:rsid w:val="00E107C1"/>
    <w:rsid w:val="00E115F5"/>
    <w:rsid w:val="00E122D2"/>
    <w:rsid w:val="00E1363B"/>
    <w:rsid w:val="00E14027"/>
    <w:rsid w:val="00E175D9"/>
    <w:rsid w:val="00E22B23"/>
    <w:rsid w:val="00E23C2F"/>
    <w:rsid w:val="00E23C8F"/>
    <w:rsid w:val="00E23EC0"/>
    <w:rsid w:val="00E2572F"/>
    <w:rsid w:val="00E30555"/>
    <w:rsid w:val="00E33AF6"/>
    <w:rsid w:val="00E33C34"/>
    <w:rsid w:val="00E4621B"/>
    <w:rsid w:val="00E46B43"/>
    <w:rsid w:val="00E477B9"/>
    <w:rsid w:val="00E47B06"/>
    <w:rsid w:val="00E5120B"/>
    <w:rsid w:val="00E655F4"/>
    <w:rsid w:val="00EA0060"/>
    <w:rsid w:val="00EA56A7"/>
    <w:rsid w:val="00EA7BE5"/>
    <w:rsid w:val="00EB193C"/>
    <w:rsid w:val="00EB6EA5"/>
    <w:rsid w:val="00EC346A"/>
    <w:rsid w:val="00EC3EA9"/>
    <w:rsid w:val="00EE0E79"/>
    <w:rsid w:val="00EE2A6D"/>
    <w:rsid w:val="00EE56CB"/>
    <w:rsid w:val="00EE6A59"/>
    <w:rsid w:val="00EF1AA8"/>
    <w:rsid w:val="00EF3A59"/>
    <w:rsid w:val="00EF5087"/>
    <w:rsid w:val="00EF7499"/>
    <w:rsid w:val="00F03F29"/>
    <w:rsid w:val="00F0633A"/>
    <w:rsid w:val="00F10D57"/>
    <w:rsid w:val="00F11DCA"/>
    <w:rsid w:val="00F1289E"/>
    <w:rsid w:val="00F15288"/>
    <w:rsid w:val="00F16AD7"/>
    <w:rsid w:val="00F30634"/>
    <w:rsid w:val="00F35DFC"/>
    <w:rsid w:val="00F456D3"/>
    <w:rsid w:val="00F5074E"/>
    <w:rsid w:val="00F5169B"/>
    <w:rsid w:val="00F52730"/>
    <w:rsid w:val="00F5556F"/>
    <w:rsid w:val="00F56A92"/>
    <w:rsid w:val="00F61873"/>
    <w:rsid w:val="00F67F4C"/>
    <w:rsid w:val="00F7333C"/>
    <w:rsid w:val="00F77F25"/>
    <w:rsid w:val="00F82AD5"/>
    <w:rsid w:val="00F85E32"/>
    <w:rsid w:val="00F96A83"/>
    <w:rsid w:val="00FA46B2"/>
    <w:rsid w:val="00FA7B1C"/>
    <w:rsid w:val="00FB3E41"/>
    <w:rsid w:val="00FB4EE1"/>
    <w:rsid w:val="00FD1229"/>
    <w:rsid w:val="00FD268E"/>
    <w:rsid w:val="00FD5915"/>
    <w:rsid w:val="00FE1A85"/>
    <w:rsid w:val="00FE242D"/>
    <w:rsid w:val="00FF44DD"/>
    <w:rsid w:val="00FF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5756B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5756B"/>
    <w:rPr>
      <w:rFonts w:ascii="Times New Roman" w:eastAsia="Arial Unicode MS" w:hAnsi="Times New Roman" w:cs="Times New Roman"/>
      <w:sz w:val="26"/>
      <w:szCs w:val="26"/>
      <w:shd w:val="clear" w:color="auto" w:fill="FFFFFF"/>
      <w:lang w:val="uk-UA"/>
    </w:rPr>
  </w:style>
  <w:style w:type="character" w:customStyle="1" w:styleId="10">
    <w:name w:val="Основной текст (10)_"/>
    <w:basedOn w:val="a0"/>
    <w:link w:val="100"/>
    <w:uiPriority w:val="99"/>
    <w:locked/>
    <w:rsid w:val="0065756B"/>
    <w:rPr>
      <w:rFonts w:ascii="Times New Roman" w:hAnsi="Times New Roman" w:cs="Times New Roman"/>
      <w:spacing w:val="-20"/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65756B"/>
    <w:pPr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pacing w:val="-20"/>
      <w:sz w:val="24"/>
      <w:szCs w:val="24"/>
    </w:rPr>
  </w:style>
  <w:style w:type="character" w:customStyle="1" w:styleId="a5">
    <w:name w:val="Подпись к таблице_"/>
    <w:basedOn w:val="a0"/>
    <w:link w:val="a6"/>
    <w:uiPriority w:val="99"/>
    <w:locked/>
    <w:rsid w:val="0065756B"/>
    <w:rPr>
      <w:rFonts w:ascii="Times New Roman" w:eastAsia="Arial Unicode MS" w:hAnsi="Times New Roman" w:cs="Times New Roman"/>
      <w:sz w:val="26"/>
      <w:szCs w:val="26"/>
      <w:shd w:val="clear" w:color="auto" w:fill="FFFFFF"/>
      <w:lang w:val="uk-UA"/>
    </w:rPr>
  </w:style>
  <w:style w:type="paragraph" w:customStyle="1" w:styleId="a6">
    <w:name w:val="Подпись к таблице"/>
    <w:basedOn w:val="a"/>
    <w:link w:val="a5"/>
    <w:uiPriority w:val="99"/>
    <w:rsid w:val="0065756B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6"/>
      <w:szCs w:val="26"/>
      <w:lang w:val="uk-UA"/>
    </w:rPr>
  </w:style>
  <w:style w:type="character" w:customStyle="1" w:styleId="2">
    <w:name w:val="Заголовок №2_"/>
    <w:basedOn w:val="a0"/>
    <w:link w:val="20"/>
    <w:uiPriority w:val="99"/>
    <w:locked/>
    <w:rsid w:val="0065756B"/>
    <w:rPr>
      <w:rFonts w:ascii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5756B"/>
    <w:pPr>
      <w:shd w:val="clear" w:color="auto" w:fill="FFFFFF"/>
      <w:spacing w:after="120" w:line="240" w:lineRule="atLeast"/>
      <w:jc w:val="center"/>
      <w:outlineLvl w:val="1"/>
    </w:pPr>
    <w:rPr>
      <w:rFonts w:ascii="Times New Roman" w:hAnsi="Times New Roman" w:cs="Times New Roman"/>
      <w:sz w:val="35"/>
      <w:szCs w:val="35"/>
    </w:rPr>
  </w:style>
  <w:style w:type="character" w:customStyle="1" w:styleId="6">
    <w:name w:val="Основной текст (6)_"/>
    <w:basedOn w:val="a0"/>
    <w:link w:val="60"/>
    <w:uiPriority w:val="99"/>
    <w:locked/>
    <w:rsid w:val="0065756B"/>
    <w:rPr>
      <w:rFonts w:ascii="Times New Roman" w:hAnsi="Times New Roman" w:cs="Times New Roman"/>
      <w:sz w:val="35"/>
      <w:szCs w:val="3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5756B"/>
    <w:pPr>
      <w:shd w:val="clear" w:color="auto" w:fill="FFFFFF"/>
      <w:spacing w:after="0" w:line="240" w:lineRule="atLeast"/>
    </w:pPr>
    <w:rPr>
      <w:rFonts w:ascii="Times New Roman" w:hAnsi="Times New Roman" w:cs="Times New Roman"/>
      <w:sz w:val="35"/>
      <w:szCs w:val="35"/>
    </w:rPr>
  </w:style>
  <w:style w:type="character" w:customStyle="1" w:styleId="7">
    <w:name w:val="Основной текст (7)_"/>
    <w:basedOn w:val="a0"/>
    <w:link w:val="70"/>
    <w:uiPriority w:val="99"/>
    <w:locked/>
    <w:rsid w:val="0065756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5756B"/>
    <w:pPr>
      <w:shd w:val="clear" w:color="auto" w:fill="FFFFFF"/>
      <w:spacing w:after="0" w:line="235" w:lineRule="exact"/>
    </w:pPr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uiPriority w:val="99"/>
    <w:locked/>
    <w:rsid w:val="0065756B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5756B"/>
    <w:pPr>
      <w:shd w:val="clear" w:color="auto" w:fill="FFFFFF"/>
      <w:spacing w:after="60" w:line="240" w:lineRule="atLeast"/>
    </w:pPr>
    <w:rPr>
      <w:rFonts w:ascii="Times New Roman" w:hAnsi="Times New Roman" w:cs="Times New Roman"/>
      <w:noProof/>
      <w:sz w:val="28"/>
      <w:szCs w:val="28"/>
    </w:rPr>
  </w:style>
  <w:style w:type="character" w:customStyle="1" w:styleId="5">
    <w:name w:val="Основной текст (5)_"/>
    <w:basedOn w:val="a0"/>
    <w:link w:val="50"/>
    <w:uiPriority w:val="99"/>
    <w:locked/>
    <w:rsid w:val="0065756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5756B"/>
    <w:pPr>
      <w:shd w:val="clear" w:color="auto" w:fill="FFFFFF"/>
      <w:spacing w:after="0" w:line="278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00pt">
    <w:name w:val="Основной текст (10) + Интервал 0 pt"/>
    <w:basedOn w:val="10"/>
    <w:uiPriority w:val="99"/>
    <w:rsid w:val="0065756B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5pt">
    <w:name w:val="Основной текст + 15 pt"/>
    <w:uiPriority w:val="99"/>
    <w:rsid w:val="0065756B"/>
    <w:rPr>
      <w:rFonts w:ascii="Times New Roman" w:hAnsi="Times New Roman" w:cs="Times New Roman" w:hint="default"/>
      <w:spacing w:val="0"/>
      <w:sz w:val="30"/>
    </w:rPr>
  </w:style>
  <w:style w:type="character" w:customStyle="1" w:styleId="711">
    <w:name w:val="Основной текст (7) + 11"/>
    <w:aliases w:val="5 pt"/>
    <w:basedOn w:val="7"/>
    <w:uiPriority w:val="99"/>
    <w:rsid w:val="0065756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3pt">
    <w:name w:val="Основной текст (6) + Интервал 3 pt"/>
    <w:basedOn w:val="6"/>
    <w:uiPriority w:val="99"/>
    <w:rsid w:val="0065756B"/>
    <w:rPr>
      <w:rFonts w:ascii="Times New Roman" w:hAnsi="Times New Roman" w:cs="Times New Roman"/>
      <w:spacing w:val="70"/>
      <w:sz w:val="35"/>
      <w:szCs w:val="3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6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56B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3"/>
    <w:locked/>
    <w:rsid w:val="00EF5087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EF508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21">
    <w:name w:val="Основной текст2"/>
    <w:basedOn w:val="a9"/>
    <w:rsid w:val="00F5556F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/>
    </w:rPr>
  </w:style>
  <w:style w:type="paragraph" w:styleId="aa">
    <w:name w:val="List Paragraph"/>
    <w:basedOn w:val="a"/>
    <w:uiPriority w:val="34"/>
    <w:qFormat/>
    <w:rsid w:val="007A33C8"/>
    <w:pPr>
      <w:ind w:left="720"/>
      <w:contextualSpacing/>
    </w:pPr>
  </w:style>
  <w:style w:type="character" w:customStyle="1" w:styleId="ab">
    <w:name w:val="Основной текст + Полужирный"/>
    <w:aliases w:val="Интервал 0 pt"/>
    <w:basedOn w:val="a9"/>
    <w:rsid w:val="00502AAE"/>
    <w:rPr>
      <w:rFonts w:ascii="Times New Roman" w:eastAsia="Times New Roman" w:hAnsi="Times New Roman" w:cs="Times New Roman"/>
      <w:b/>
      <w:bCs/>
      <w:color w:val="000000"/>
      <w:spacing w:val="41"/>
      <w:w w:val="100"/>
      <w:position w:val="0"/>
      <w:sz w:val="26"/>
      <w:szCs w:val="26"/>
      <w:shd w:val="clear" w:color="auto" w:fill="FFFFFF"/>
      <w:lang w:val="uk-UA"/>
    </w:rPr>
  </w:style>
  <w:style w:type="paragraph" w:styleId="ac">
    <w:name w:val="header"/>
    <w:basedOn w:val="a"/>
    <w:link w:val="ad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8723C"/>
  </w:style>
  <w:style w:type="paragraph" w:styleId="ae">
    <w:name w:val="footer"/>
    <w:basedOn w:val="a"/>
    <w:link w:val="af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723C"/>
  </w:style>
  <w:style w:type="character" w:customStyle="1" w:styleId="apple-converted-space">
    <w:name w:val="apple-converted-space"/>
    <w:basedOn w:val="a0"/>
    <w:rsid w:val="00DC2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25"/>
      <c:rotY val="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2016 рік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Відкрито провадження</c:v>
                </c:pt>
                <c:pt idx="1">
                  <c:v>Повернуто позивачу</c:v>
                </c:pt>
                <c:pt idx="2">
                  <c:v>Відмовлено у відкритті провадження</c:v>
                </c:pt>
                <c:pt idx="3">
                  <c:v>Залишено без розгляду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71.7</c:v>
                </c:pt>
                <c:pt idx="1">
                  <c:v>25.8</c:v>
                </c:pt>
                <c:pt idx="2">
                  <c:v>2.1</c:v>
                </c:pt>
                <c:pt idx="3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2017 рік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Відкрито провадження</c:v>
                </c:pt>
                <c:pt idx="1">
                  <c:v>Повернуто позивачу</c:v>
                </c:pt>
                <c:pt idx="2">
                  <c:v>Відмовлено у відкритті провадження</c:v>
                </c:pt>
                <c:pt idx="3">
                  <c:v>Залишено без розгляду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86.8</c:v>
                </c:pt>
                <c:pt idx="1">
                  <c:v>11.3</c:v>
                </c:pt>
                <c:pt idx="2">
                  <c:v>1.6</c:v>
                </c:pt>
                <c:pt idx="3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1974272"/>
        <c:axId val="111975808"/>
        <c:axId val="0"/>
      </c:bar3DChart>
      <c:catAx>
        <c:axId val="111974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11975808"/>
        <c:crosses val="autoZero"/>
        <c:auto val="1"/>
        <c:lblAlgn val="ctr"/>
        <c:lblOffset val="100"/>
        <c:noMultiLvlLbl val="0"/>
      </c:catAx>
      <c:valAx>
        <c:axId val="1119758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1974272"/>
        <c:crosses val="autoZero"/>
        <c:crossBetween val="between"/>
      </c:valAx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8650793650795264"/>
          <c:w val="0.63439924176144669"/>
          <c:h val="0.750000000000014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відкрито</c:v>
                </c:pt>
                <c:pt idx="1">
                  <c:v>повернуто</c:v>
                </c:pt>
                <c:pt idx="2">
                  <c:v>відмовлено</c:v>
                </c:pt>
                <c:pt idx="3">
                  <c:v>без розгляду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4984</c:v>
                </c:pt>
                <c:pt idx="1">
                  <c:v>302</c:v>
                </c:pt>
                <c:pt idx="2">
                  <c:v>76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1A-4D4B-A82D-D87CB1CB0C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відкрито</c:v>
                </c:pt>
                <c:pt idx="1">
                  <c:v>повернуто</c:v>
                </c:pt>
                <c:pt idx="2">
                  <c:v>відмовлено</c:v>
                </c:pt>
                <c:pt idx="3">
                  <c:v>без розгляду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1A-4D4B-A82D-D87CB1CB0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2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400916380297825E-2"/>
          <c:y val="0"/>
          <c:w val="0.62456115665958334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відкрито</c:v>
                </c:pt>
                <c:pt idx="1">
                  <c:v>повернуто</c:v>
                </c:pt>
                <c:pt idx="2">
                  <c:v>відмовлено</c:v>
                </c:pt>
                <c:pt idx="3">
                  <c:v>без розгляду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3175</c:v>
                </c:pt>
                <c:pt idx="1">
                  <c:v>414</c:v>
                </c:pt>
                <c:pt idx="2">
                  <c:v>57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FA-4972-B61F-253A37449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27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812190142898824E-2"/>
          <c:y val="4.4057617797775513E-2"/>
          <c:w val="0.79233705161854773"/>
          <c:h val="0.8270500562429696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 прийняттям постанови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7501</c:v>
                </c:pt>
                <c:pt idx="1">
                  <c:v>7209</c:v>
                </c:pt>
                <c:pt idx="2">
                  <c:v>5839</c:v>
                </c:pt>
                <c:pt idx="3">
                  <c:v>4882</c:v>
                </c:pt>
                <c:pt idx="4">
                  <c:v>1623</c:v>
                </c:pt>
                <c:pt idx="5">
                  <c:v>2911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1B-491E-AA83-41150B8F17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закриття  провадження 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418</c:v>
                </c:pt>
                <c:pt idx="1">
                  <c:v>351</c:v>
                </c:pt>
                <c:pt idx="2">
                  <c:v>144</c:v>
                </c:pt>
                <c:pt idx="3">
                  <c:v>180</c:v>
                </c:pt>
                <c:pt idx="4">
                  <c:v>94</c:v>
                </c:pt>
                <c:pt idx="5">
                  <c:v>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1B-491E-AA83-41150B8F17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залишено без розгляду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663</c:v>
                </c:pt>
                <c:pt idx="1">
                  <c:v>598</c:v>
                </c:pt>
                <c:pt idx="2">
                  <c:v>477</c:v>
                </c:pt>
                <c:pt idx="3">
                  <c:v>319</c:v>
                </c:pt>
                <c:pt idx="4">
                  <c:v>210</c:v>
                </c:pt>
                <c:pt idx="5">
                  <c:v>280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71B-491E-AA83-41150B8F173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відмовлено у відкритті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122</c:v>
                </c:pt>
                <c:pt idx="1">
                  <c:v>128</c:v>
                </c:pt>
                <c:pt idx="2">
                  <c:v>88</c:v>
                </c:pt>
                <c:pt idx="3">
                  <c:v>76</c:v>
                </c:pt>
                <c:pt idx="4">
                  <c:v>62</c:v>
                </c:pt>
                <c:pt idx="5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71B-491E-AA83-41150B8F173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повернення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689</c:v>
                </c:pt>
                <c:pt idx="1">
                  <c:v>449</c:v>
                </c:pt>
                <c:pt idx="2">
                  <c:v>337</c:v>
                </c:pt>
                <c:pt idx="3">
                  <c:v>302</c:v>
                </c:pt>
                <c:pt idx="4">
                  <c:v>780</c:v>
                </c:pt>
                <c:pt idx="5">
                  <c:v>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71B-491E-AA83-41150B8F173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передано в інші суди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10</c:v>
                </c:pt>
                <c:pt idx="1">
                  <c:v>24</c:v>
                </c:pt>
                <c:pt idx="2">
                  <c:v>20</c:v>
                </c:pt>
                <c:pt idx="3">
                  <c:v>15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71B-491E-AA83-41150B8F17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443392"/>
        <c:axId val="112444928"/>
        <c:axId val="0"/>
      </c:bar3DChart>
      <c:catAx>
        <c:axId val="11244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2444928"/>
        <c:crosses val="autoZero"/>
        <c:auto val="1"/>
        <c:lblAlgn val="ctr"/>
        <c:lblOffset val="100"/>
        <c:noMultiLvlLbl val="0"/>
      </c:catAx>
      <c:valAx>
        <c:axId val="11244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443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20720326625838"/>
          <c:y val="0"/>
          <c:w val="0.19679279673374164"/>
          <c:h val="0.6091169853768275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F0EB-3E84-4ACB-9220-A26FA23C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172</cp:revision>
  <cp:lastPrinted>2018-01-18T10:07:00Z</cp:lastPrinted>
  <dcterms:created xsi:type="dcterms:W3CDTF">2017-01-04T14:24:00Z</dcterms:created>
  <dcterms:modified xsi:type="dcterms:W3CDTF">2018-01-31T06:47:00Z</dcterms:modified>
</cp:coreProperties>
</file>